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332" w:type="dxa"/>
        <w:tblInd w:w="93" w:type="dxa"/>
        <w:tblLook w:val="04A0" w:firstRow="1" w:lastRow="0" w:firstColumn="1" w:lastColumn="0" w:noHBand="0" w:noVBand="1"/>
      </w:tblPr>
      <w:tblGrid>
        <w:gridCol w:w="15794"/>
        <w:gridCol w:w="5715"/>
        <w:gridCol w:w="837"/>
        <w:gridCol w:w="826"/>
        <w:gridCol w:w="1480"/>
        <w:gridCol w:w="1480"/>
        <w:gridCol w:w="1480"/>
        <w:gridCol w:w="1480"/>
        <w:gridCol w:w="2240"/>
      </w:tblGrid>
      <w:tr w:rsidR="00DA2DA0" w:rsidRPr="00813654" w:rsidTr="00244BD9">
        <w:trPr>
          <w:trHeight w:val="288"/>
        </w:trPr>
        <w:tc>
          <w:tcPr>
            <w:tcW w:w="15794" w:type="dxa"/>
            <w:tcBorders>
              <w:top w:val="nil"/>
              <w:left w:val="nil"/>
              <w:bottom w:val="nil"/>
              <w:right w:val="nil"/>
            </w:tcBorders>
            <w:shd w:val="clear" w:color="auto" w:fill="auto"/>
            <w:noWrap/>
            <w:vAlign w:val="center"/>
          </w:tcPr>
          <w:tbl>
            <w:tblPr>
              <w:tblW w:w="14614" w:type="dxa"/>
              <w:tblInd w:w="191" w:type="dxa"/>
              <w:tblLook w:val="04A0" w:firstRow="1" w:lastRow="0" w:firstColumn="1" w:lastColumn="0" w:noHBand="0" w:noVBand="1"/>
            </w:tblPr>
            <w:tblGrid>
              <w:gridCol w:w="620"/>
              <w:gridCol w:w="5524"/>
              <w:gridCol w:w="882"/>
              <w:gridCol w:w="908"/>
              <w:gridCol w:w="1260"/>
              <w:gridCol w:w="1160"/>
              <w:gridCol w:w="1320"/>
              <w:gridCol w:w="1280"/>
              <w:gridCol w:w="1660"/>
            </w:tblGrid>
            <w:tr w:rsidR="00DA2DA0" w:rsidRPr="00813654" w:rsidTr="00244BD9">
              <w:trPr>
                <w:trHeight w:val="288"/>
              </w:trPr>
              <w:tc>
                <w:tcPr>
                  <w:tcW w:w="7934" w:type="dxa"/>
                  <w:gridSpan w:val="4"/>
                  <w:vMerge w:val="restart"/>
                  <w:tcBorders>
                    <w:top w:val="nil"/>
                    <w:left w:val="nil"/>
                    <w:bottom w:val="nil"/>
                    <w:right w:val="nil"/>
                  </w:tcBorders>
                  <w:shd w:val="clear" w:color="auto" w:fill="auto"/>
                  <w:vAlign w:val="center"/>
                  <w:hideMark/>
                </w:tcPr>
                <w:p w:rsidR="00DA2DA0" w:rsidRDefault="00DA2DA0" w:rsidP="00244BD9">
                  <w:pPr>
                    <w:widowControl/>
                    <w:autoSpaceDE/>
                    <w:autoSpaceDN/>
                    <w:jc w:val="center"/>
                    <w:rPr>
                      <w:rFonts w:eastAsia="Times New Roman"/>
                      <w:b/>
                      <w:bCs/>
                      <w:color w:val="000000"/>
                      <w:sz w:val="28"/>
                      <w:szCs w:val="28"/>
                      <w:lang w:val="sr-Cyrl-RS"/>
                    </w:rPr>
                  </w:pPr>
                  <w:bookmarkStart w:id="0" w:name="_GoBack"/>
                  <w:bookmarkEnd w:id="0"/>
                  <w:r w:rsidRPr="00813654">
                    <w:rPr>
                      <w:rFonts w:eastAsia="Times New Roman"/>
                      <w:b/>
                      <w:bCs/>
                      <w:color w:val="000000"/>
                      <w:sz w:val="28"/>
                      <w:szCs w:val="28"/>
                    </w:rPr>
                    <w:t>ДРУГА ПАРТИЈА - млеко и млечни производи</w:t>
                  </w:r>
                  <w:r>
                    <w:rPr>
                      <w:rFonts w:eastAsia="Times New Roman"/>
                      <w:b/>
                      <w:bCs/>
                      <w:color w:val="000000"/>
                      <w:sz w:val="28"/>
                      <w:szCs w:val="28"/>
                      <w:lang w:val="sr-Cyrl-RS"/>
                    </w:rPr>
                    <w:t xml:space="preserve"> </w:t>
                  </w:r>
                </w:p>
                <w:p w:rsidR="00DA2DA0" w:rsidRPr="007E6E89" w:rsidRDefault="00DA2DA0" w:rsidP="00244BD9">
                  <w:pPr>
                    <w:widowControl/>
                    <w:autoSpaceDE/>
                    <w:autoSpaceDN/>
                    <w:jc w:val="center"/>
                    <w:rPr>
                      <w:rFonts w:eastAsia="Times New Roman"/>
                      <w:b/>
                      <w:bCs/>
                      <w:color w:val="000000"/>
                      <w:sz w:val="24"/>
                      <w:szCs w:val="24"/>
                      <w:lang w:val="sr-Cyrl-RS"/>
                    </w:rPr>
                  </w:pPr>
                  <w:r w:rsidRPr="007E6E89">
                    <w:rPr>
                      <w:rFonts w:eastAsia="Times New Roman"/>
                      <w:b/>
                      <w:bCs/>
                      <w:color w:val="000000"/>
                      <w:sz w:val="24"/>
                      <w:szCs w:val="24"/>
                      <w:lang w:val="sr-Cyrl-RS"/>
                    </w:rPr>
                    <w:t>(Образац 1.2)</w:t>
                  </w:r>
                </w:p>
              </w:tc>
              <w:tc>
                <w:tcPr>
                  <w:tcW w:w="12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DA2DA0" w:rsidRPr="007E6E89" w:rsidRDefault="00DA2DA0" w:rsidP="00244BD9">
                  <w:pPr>
                    <w:widowControl/>
                    <w:autoSpaceDE/>
                    <w:autoSpaceDN/>
                    <w:rPr>
                      <w:rFonts w:eastAsia="Times New Roman"/>
                      <w:color w:val="000000"/>
                      <w:lang w:val="sr-Cyrl-RS"/>
                    </w:rPr>
                  </w:pPr>
                </w:p>
              </w:tc>
              <w:tc>
                <w:tcPr>
                  <w:tcW w:w="16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ascii="Calibri" w:eastAsia="Times New Roman" w:hAnsi="Calibri" w:cs="Calibri"/>
                      <w:color w:val="000000"/>
                    </w:rPr>
                  </w:pPr>
                </w:p>
              </w:tc>
            </w:tr>
            <w:tr w:rsidR="00DA2DA0" w:rsidRPr="00813654" w:rsidTr="00244BD9">
              <w:trPr>
                <w:trHeight w:val="288"/>
              </w:trPr>
              <w:tc>
                <w:tcPr>
                  <w:tcW w:w="7934" w:type="dxa"/>
                  <w:gridSpan w:val="4"/>
                  <w:vMerge/>
                  <w:tcBorders>
                    <w:top w:val="nil"/>
                    <w:left w:val="nil"/>
                    <w:bottom w:val="nil"/>
                    <w:right w:val="nil"/>
                  </w:tcBorders>
                  <w:vAlign w:val="center"/>
                  <w:hideMark/>
                </w:tcPr>
                <w:p w:rsidR="00DA2DA0" w:rsidRPr="00813654" w:rsidRDefault="00DA2DA0" w:rsidP="00244BD9">
                  <w:pPr>
                    <w:widowControl/>
                    <w:autoSpaceDE/>
                    <w:autoSpaceDN/>
                    <w:rPr>
                      <w:rFonts w:eastAsia="Times New Roman"/>
                      <w:b/>
                      <w:bCs/>
                      <w:color w:val="000000"/>
                      <w:sz w:val="28"/>
                      <w:szCs w:val="28"/>
                    </w:rPr>
                  </w:pPr>
                </w:p>
              </w:tc>
              <w:tc>
                <w:tcPr>
                  <w:tcW w:w="12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rPr>
                  </w:pPr>
                </w:p>
              </w:tc>
              <w:tc>
                <w:tcPr>
                  <w:tcW w:w="132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rPr>
                  </w:pPr>
                </w:p>
              </w:tc>
              <w:tc>
                <w:tcPr>
                  <w:tcW w:w="1280" w:type="dxa"/>
                  <w:tcBorders>
                    <w:top w:val="nil"/>
                    <w:left w:val="nil"/>
                    <w:bottom w:val="nil"/>
                    <w:right w:val="nil"/>
                  </w:tcBorders>
                  <w:shd w:val="clear" w:color="auto" w:fill="auto"/>
                  <w:noWrap/>
                  <w:vAlign w:val="center"/>
                  <w:hideMark/>
                </w:tcPr>
                <w:p w:rsidR="00DA2DA0" w:rsidRPr="007E6E89" w:rsidRDefault="00DA2DA0" w:rsidP="00244BD9">
                  <w:pPr>
                    <w:widowControl/>
                    <w:autoSpaceDE/>
                    <w:autoSpaceDN/>
                    <w:jc w:val="right"/>
                    <w:rPr>
                      <w:rFonts w:eastAsia="Times New Roman"/>
                      <w:color w:val="000000"/>
                      <w:lang w:val="sr-Cyrl-RS"/>
                    </w:rPr>
                  </w:pPr>
                </w:p>
              </w:tc>
              <w:tc>
                <w:tcPr>
                  <w:tcW w:w="16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ascii="Calibri" w:eastAsia="Times New Roman" w:hAnsi="Calibri" w:cs="Calibri"/>
                      <w:color w:val="000000"/>
                    </w:rPr>
                  </w:pPr>
                </w:p>
              </w:tc>
            </w:tr>
            <w:tr w:rsidR="00DA2DA0" w:rsidRPr="00813654" w:rsidTr="00244BD9">
              <w:trPr>
                <w:trHeight w:val="312"/>
              </w:trPr>
              <w:tc>
                <w:tcPr>
                  <w:tcW w:w="62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c>
                <w:tcPr>
                  <w:tcW w:w="5524"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c>
                <w:tcPr>
                  <w:tcW w:w="882"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c>
                <w:tcPr>
                  <w:tcW w:w="908"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c>
                <w:tcPr>
                  <w:tcW w:w="12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32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28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rPr>
                  </w:pPr>
                </w:p>
              </w:tc>
              <w:tc>
                <w:tcPr>
                  <w:tcW w:w="1660"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у динарима</w:t>
                  </w:r>
                </w:p>
              </w:tc>
            </w:tr>
            <w:tr w:rsidR="00DA2DA0" w:rsidRPr="00813654" w:rsidTr="00244BD9">
              <w:trPr>
                <w:trHeight w:val="6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р.бр.</w:t>
                  </w:r>
                </w:p>
              </w:tc>
              <w:tc>
                <w:tcPr>
                  <w:tcW w:w="5524" w:type="dxa"/>
                  <w:tcBorders>
                    <w:top w:val="single" w:sz="4" w:space="0" w:color="auto"/>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Pr>
                      <w:rFonts w:eastAsia="Times New Roman"/>
                      <w:color w:val="000000"/>
                      <w:sz w:val="18"/>
                      <w:szCs w:val="18"/>
                    </w:rPr>
                    <w:t>н</w:t>
                  </w:r>
                  <w:r>
                    <w:rPr>
                      <w:rFonts w:eastAsia="Times New Roman"/>
                      <w:color w:val="000000"/>
                      <w:sz w:val="18"/>
                      <w:szCs w:val="18"/>
                      <w:lang w:val="sr-Cyrl-RS"/>
                    </w:rPr>
                    <w:t>а</w:t>
                  </w:r>
                  <w:r w:rsidRPr="00813654">
                    <w:rPr>
                      <w:rFonts w:eastAsia="Times New Roman"/>
                      <w:color w:val="000000"/>
                      <w:sz w:val="18"/>
                      <w:szCs w:val="18"/>
                    </w:rPr>
                    <w:t>зив производа</w:t>
                  </w:r>
                </w:p>
              </w:tc>
              <w:tc>
                <w:tcPr>
                  <w:tcW w:w="882" w:type="dxa"/>
                  <w:tcBorders>
                    <w:top w:val="single" w:sz="4" w:space="0" w:color="auto"/>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jc w:val="center"/>
                    <w:rPr>
                      <w:rFonts w:eastAsia="Times New Roman"/>
                      <w:color w:val="000000"/>
                      <w:sz w:val="16"/>
                      <w:szCs w:val="16"/>
                    </w:rPr>
                  </w:pPr>
                  <w:r w:rsidRPr="00813654">
                    <w:rPr>
                      <w:rFonts w:eastAsia="Times New Roman"/>
                      <w:color w:val="000000"/>
                      <w:sz w:val="16"/>
                      <w:szCs w:val="16"/>
                    </w:rPr>
                    <w:t>јединица мере</w:t>
                  </w:r>
                </w:p>
              </w:tc>
              <w:tc>
                <w:tcPr>
                  <w:tcW w:w="908" w:type="dxa"/>
                  <w:tcBorders>
                    <w:top w:val="single" w:sz="4" w:space="0" w:color="auto"/>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6"/>
                      <w:szCs w:val="16"/>
                    </w:rPr>
                  </w:pPr>
                  <w:r>
                    <w:rPr>
                      <w:rFonts w:eastAsia="Times New Roman"/>
                      <w:color w:val="000000"/>
                      <w:sz w:val="16"/>
                      <w:szCs w:val="16"/>
                    </w:rPr>
                    <w:t>коли</w:t>
                  </w:r>
                  <w:r w:rsidRPr="00813654">
                    <w:rPr>
                      <w:rFonts w:eastAsia="Times New Roman"/>
                      <w:color w:val="000000"/>
                      <w:sz w:val="16"/>
                      <w:szCs w:val="16"/>
                    </w:rPr>
                    <w:t>чина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jc w:val="center"/>
                    <w:rPr>
                      <w:rFonts w:eastAsia="Times New Roman"/>
                      <w:color w:val="000000"/>
                      <w:sz w:val="16"/>
                      <w:szCs w:val="16"/>
                    </w:rPr>
                  </w:pPr>
                  <w:r>
                    <w:rPr>
                      <w:rFonts w:eastAsia="Times New Roman"/>
                      <w:color w:val="000000"/>
                      <w:sz w:val="16"/>
                      <w:szCs w:val="16"/>
                    </w:rPr>
                    <w:t xml:space="preserve">Јединична </w:t>
                  </w:r>
                  <w:r w:rsidRPr="00813654">
                    <w:rPr>
                      <w:rFonts w:eastAsia="Times New Roman"/>
                      <w:color w:val="000000"/>
                      <w:sz w:val="16"/>
                      <w:szCs w:val="16"/>
                    </w:rPr>
                    <w:t>цена без ПДВ-а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jc w:val="center"/>
                    <w:rPr>
                      <w:rFonts w:eastAsia="Times New Roman"/>
                      <w:color w:val="000000"/>
                      <w:sz w:val="16"/>
                      <w:szCs w:val="16"/>
                    </w:rPr>
                  </w:pPr>
                  <w:r w:rsidRPr="00813654">
                    <w:rPr>
                      <w:rFonts w:eastAsia="Times New Roman"/>
                      <w:color w:val="000000"/>
                      <w:sz w:val="16"/>
                      <w:szCs w:val="16"/>
                    </w:rPr>
                    <w:t>јединична цена са ПДВ-ом</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jc w:val="center"/>
                    <w:rPr>
                      <w:rFonts w:eastAsia="Times New Roman"/>
                      <w:color w:val="000000"/>
                      <w:sz w:val="16"/>
                      <w:szCs w:val="16"/>
                    </w:rPr>
                  </w:pPr>
                  <w:r w:rsidRPr="00813654">
                    <w:rPr>
                      <w:rFonts w:eastAsia="Times New Roman"/>
                      <w:color w:val="000000"/>
                      <w:sz w:val="16"/>
                      <w:szCs w:val="16"/>
                    </w:rPr>
                    <w:t>укупна вредност без ПДВ-а</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jc w:val="center"/>
                    <w:rPr>
                      <w:rFonts w:eastAsia="Times New Roman"/>
                      <w:color w:val="000000"/>
                      <w:sz w:val="16"/>
                      <w:szCs w:val="16"/>
                    </w:rPr>
                  </w:pPr>
                  <w:r w:rsidRPr="00813654">
                    <w:rPr>
                      <w:rFonts w:eastAsia="Times New Roman"/>
                      <w:color w:val="000000"/>
                      <w:sz w:val="16"/>
                      <w:szCs w:val="16"/>
                    </w:rPr>
                    <w:t>укупна вредност са ПДВ-ом</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jc w:val="center"/>
                    <w:rPr>
                      <w:rFonts w:eastAsia="Times New Roman"/>
                      <w:color w:val="000000"/>
                      <w:sz w:val="16"/>
                      <w:szCs w:val="16"/>
                    </w:rPr>
                  </w:pPr>
                  <w:r w:rsidRPr="00813654">
                    <w:rPr>
                      <w:rFonts w:eastAsia="Times New Roman"/>
                      <w:color w:val="000000"/>
                      <w:sz w:val="16"/>
                      <w:szCs w:val="16"/>
                    </w:rPr>
                    <w:t>порекло производа - произвођач</w:t>
                  </w:r>
                </w:p>
              </w:tc>
            </w:tr>
            <w:tr w:rsidR="00DA2DA0" w:rsidRPr="00813654" w:rsidTr="00244BD9">
              <w:trPr>
                <w:trHeight w:val="138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1.</w:t>
                  </w:r>
                </w:p>
              </w:tc>
              <w:tc>
                <w:tcPr>
                  <w:tcW w:w="5524" w:type="dxa"/>
                  <w:tcBorders>
                    <w:top w:val="nil"/>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rPr>
                      <w:rFonts w:eastAsia="Times New Roman"/>
                      <w:b/>
                      <w:bCs/>
                      <w:color w:val="000000"/>
                      <w:sz w:val="18"/>
                      <w:szCs w:val="18"/>
                    </w:rPr>
                  </w:pPr>
                  <w:r w:rsidRPr="00813654">
                    <w:rPr>
                      <w:rFonts w:eastAsia="Times New Roman"/>
                      <w:b/>
                      <w:bCs/>
                      <w:color w:val="000000"/>
                      <w:sz w:val="18"/>
                      <w:szCs w:val="18"/>
                    </w:rPr>
                    <w:t xml:space="preserve">Пастеризовано млеко, </w:t>
                  </w:r>
                  <w:r w:rsidRPr="00813654">
                    <w:rPr>
                      <w:rFonts w:eastAsia="Times New Roman"/>
                      <w:color w:val="000000"/>
                      <w:sz w:val="18"/>
                      <w:szCs w:val="18"/>
                    </w:rPr>
                    <w:t>мин.2,8%мм, киселост&lt;8'СХ, беле до бледо жућкасте боје, пријатног укуса и мириса, течне коегзистенције, паковање у херметички затвореној ПЕ фолији од 1 л.,са декларацијом и роком употребе и  периодични налази Завода за заштиту здравља Републичке санитарне инспекције и сопствени налаз из лабораторије.</w:t>
                  </w:r>
                </w:p>
              </w:tc>
              <w:tc>
                <w:tcPr>
                  <w:tcW w:w="882"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DA2DA0" w:rsidRPr="006A7A89" w:rsidRDefault="00DA2DA0" w:rsidP="00244BD9">
                  <w:pPr>
                    <w:widowControl/>
                    <w:autoSpaceDE/>
                    <w:autoSpaceDN/>
                    <w:jc w:val="center"/>
                    <w:rPr>
                      <w:rFonts w:eastAsia="Times New Roman"/>
                      <w:color w:val="000000"/>
                      <w:sz w:val="18"/>
                      <w:szCs w:val="18"/>
                      <w:lang w:val="sr-Cyrl-RS"/>
                    </w:rPr>
                  </w:pPr>
                  <w:r>
                    <w:rPr>
                      <w:rFonts w:eastAsia="Times New Roman"/>
                      <w:color w:val="000000"/>
                      <w:sz w:val="18"/>
                      <w:szCs w:val="18"/>
                      <w:lang w:val="sr-Cyrl-RS"/>
                    </w:rPr>
                    <w:t>1400</w:t>
                  </w:r>
                </w:p>
              </w:tc>
              <w:tc>
                <w:tcPr>
                  <w:tcW w:w="12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DA2DA0" w:rsidRPr="00813654" w:rsidTr="00244BD9">
              <w:trPr>
                <w:trHeight w:val="696"/>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2.</w:t>
                  </w:r>
                </w:p>
              </w:tc>
              <w:tc>
                <w:tcPr>
                  <w:tcW w:w="5524" w:type="dxa"/>
                  <w:tcBorders>
                    <w:top w:val="nil"/>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rPr>
                      <w:rFonts w:eastAsia="Times New Roman"/>
                      <w:b/>
                      <w:bCs/>
                      <w:color w:val="000000"/>
                      <w:sz w:val="18"/>
                      <w:szCs w:val="18"/>
                    </w:rPr>
                  </w:pPr>
                  <w:r w:rsidRPr="00813654">
                    <w:rPr>
                      <w:rFonts w:eastAsia="Times New Roman"/>
                      <w:b/>
                      <w:bCs/>
                      <w:color w:val="000000"/>
                      <w:sz w:val="18"/>
                      <w:szCs w:val="18"/>
                    </w:rPr>
                    <w:t xml:space="preserve">Јогурт, </w:t>
                  </w:r>
                  <w:r w:rsidRPr="00813654">
                    <w:rPr>
                      <w:rFonts w:eastAsia="Times New Roman"/>
                      <w:color w:val="000000"/>
                      <w:sz w:val="18"/>
                      <w:szCs w:val="18"/>
                    </w:rPr>
                    <w:t>пaковање чаша од 180 мл.</w:t>
                  </w:r>
                  <w:r w:rsidRPr="00813654">
                    <w:rPr>
                      <w:rFonts w:eastAsia="Times New Roman"/>
                      <w:b/>
                      <w:bCs/>
                      <w:color w:val="000000"/>
                      <w:sz w:val="18"/>
                      <w:szCs w:val="18"/>
                    </w:rPr>
                    <w:t xml:space="preserve"> </w:t>
                  </w:r>
                  <w:r w:rsidRPr="00813654">
                    <w:rPr>
                      <w:rFonts w:eastAsia="Times New Roman"/>
                      <w:color w:val="000000"/>
                      <w:sz w:val="18"/>
                      <w:szCs w:val="18"/>
                    </w:rPr>
                    <w:t>мин.2,8% мм, ПХ киселост &lt;3,5' СХ, беле до бледо жућкасте боје, са назначеним роком употребе на паковању</w:t>
                  </w:r>
                </w:p>
              </w:tc>
              <w:tc>
                <w:tcPr>
                  <w:tcW w:w="882"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Pr>
                      <w:rFonts w:eastAsia="Times New Roman"/>
                      <w:color w:val="000000"/>
                      <w:sz w:val="18"/>
                      <w:szCs w:val="18"/>
                      <w:lang w:val="sr-Cyrl-RS"/>
                    </w:rPr>
                    <w:t>5</w:t>
                  </w:r>
                  <w:r w:rsidRPr="00813654">
                    <w:rPr>
                      <w:rFonts w:eastAsia="Times New Roman"/>
                      <w:color w:val="000000"/>
                      <w:sz w:val="18"/>
                      <w:szCs w:val="18"/>
                    </w:rPr>
                    <w:t>000</w:t>
                  </w:r>
                </w:p>
              </w:tc>
              <w:tc>
                <w:tcPr>
                  <w:tcW w:w="12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DA2DA0" w:rsidRPr="00813654" w:rsidTr="00244BD9">
              <w:trPr>
                <w:trHeight w:val="468"/>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3.</w:t>
                  </w:r>
                </w:p>
              </w:tc>
              <w:tc>
                <w:tcPr>
                  <w:tcW w:w="5524" w:type="dxa"/>
                  <w:tcBorders>
                    <w:top w:val="nil"/>
                    <w:left w:val="nil"/>
                    <w:bottom w:val="single" w:sz="4" w:space="0" w:color="auto"/>
                    <w:right w:val="single" w:sz="4" w:space="0" w:color="auto"/>
                  </w:tcBorders>
                  <w:shd w:val="clear" w:color="auto" w:fill="auto"/>
                  <w:vAlign w:val="center"/>
                  <w:hideMark/>
                </w:tcPr>
                <w:p w:rsidR="00DA2DA0" w:rsidRPr="00813654" w:rsidRDefault="00DA2DA0" w:rsidP="00244BD9">
                  <w:pPr>
                    <w:widowControl/>
                    <w:autoSpaceDE/>
                    <w:autoSpaceDN/>
                    <w:rPr>
                      <w:rFonts w:eastAsia="Times New Roman"/>
                      <w:b/>
                      <w:bCs/>
                      <w:color w:val="000000"/>
                      <w:sz w:val="18"/>
                      <w:szCs w:val="18"/>
                    </w:rPr>
                  </w:pPr>
                  <w:r w:rsidRPr="00813654">
                    <w:rPr>
                      <w:rFonts w:eastAsia="Times New Roman"/>
                      <w:b/>
                      <w:bCs/>
                      <w:color w:val="000000"/>
                      <w:sz w:val="18"/>
                      <w:szCs w:val="18"/>
                    </w:rPr>
                    <w:t>Крављи сир,</w:t>
                  </w:r>
                  <w:r w:rsidRPr="00813654">
                    <w:rPr>
                      <w:rFonts w:eastAsia="Times New Roman"/>
                      <w:color w:val="000000"/>
                      <w:sz w:val="18"/>
                      <w:szCs w:val="18"/>
                    </w:rPr>
                    <w:t xml:space="preserve"> у кришкама, са декларацијом и роком употребе, паковање 5/1</w:t>
                  </w:r>
                </w:p>
              </w:tc>
              <w:tc>
                <w:tcPr>
                  <w:tcW w:w="882"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ком</w:t>
                  </w:r>
                </w:p>
              </w:tc>
              <w:tc>
                <w:tcPr>
                  <w:tcW w:w="908"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Pr>
                      <w:rFonts w:eastAsia="Times New Roman"/>
                      <w:color w:val="000000"/>
                      <w:sz w:val="18"/>
                      <w:szCs w:val="18"/>
                    </w:rPr>
                    <w:t>5</w:t>
                  </w:r>
                  <w:r w:rsidRPr="00813654">
                    <w:rPr>
                      <w:rFonts w:eastAsia="Times New Roman"/>
                      <w:color w:val="000000"/>
                      <w:sz w:val="18"/>
                      <w:szCs w:val="18"/>
                    </w:rPr>
                    <w:t>0</w:t>
                  </w:r>
                </w:p>
              </w:tc>
              <w:tc>
                <w:tcPr>
                  <w:tcW w:w="12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DA2DA0" w:rsidRPr="00813654" w:rsidTr="00244BD9">
              <w:trPr>
                <w:trHeight w:val="924"/>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4.</w:t>
                  </w:r>
                </w:p>
              </w:tc>
              <w:tc>
                <w:tcPr>
                  <w:tcW w:w="5524" w:type="dxa"/>
                  <w:tcBorders>
                    <w:top w:val="nil"/>
                    <w:left w:val="nil"/>
                    <w:bottom w:val="single" w:sz="4" w:space="0" w:color="auto"/>
                    <w:right w:val="single" w:sz="4" w:space="0" w:color="auto"/>
                  </w:tcBorders>
                  <w:shd w:val="clear" w:color="auto" w:fill="auto"/>
                  <w:vAlign w:val="center"/>
                  <w:hideMark/>
                </w:tcPr>
                <w:p w:rsidR="00DA2DA0" w:rsidRPr="001374BA" w:rsidRDefault="00DA2DA0" w:rsidP="00244BD9">
                  <w:pPr>
                    <w:widowControl/>
                    <w:autoSpaceDE/>
                    <w:autoSpaceDN/>
                    <w:rPr>
                      <w:rFonts w:eastAsia="Times New Roman"/>
                      <w:color w:val="000000"/>
                      <w:sz w:val="18"/>
                      <w:szCs w:val="18"/>
                    </w:rPr>
                  </w:pPr>
                  <w:r w:rsidRPr="00813654">
                    <w:rPr>
                      <w:rFonts w:eastAsia="Times New Roman"/>
                      <w:b/>
                      <w:bCs/>
                      <w:color w:val="000000"/>
                      <w:sz w:val="18"/>
                      <w:szCs w:val="18"/>
                    </w:rPr>
                    <w:t xml:space="preserve">Кајмак, </w:t>
                  </w:r>
                  <w:r>
                    <w:rPr>
                      <w:rFonts w:eastAsia="Times New Roman"/>
                      <w:color w:val="000000"/>
                      <w:sz w:val="18"/>
                      <w:szCs w:val="18"/>
                    </w:rPr>
                    <w:t>не</w:t>
                  </w:r>
                  <w:r w:rsidRPr="00813654">
                    <w:rPr>
                      <w:rFonts w:eastAsia="Times New Roman"/>
                      <w:color w:val="000000"/>
                      <w:sz w:val="18"/>
                      <w:szCs w:val="18"/>
                    </w:rPr>
                    <w:t>преврео, садржаја мин. 65% м.м., изражено светле, беличасте боје, укуса и мириса благог, типично млечног, умерено сланог, мазивом конзистенцијом са израженом слојевитошћу, са декларацијом и роком употребе, паковање 1/1</w:t>
                  </w:r>
                </w:p>
              </w:tc>
              <w:tc>
                <w:tcPr>
                  <w:tcW w:w="882"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кг</w:t>
                  </w:r>
                </w:p>
              </w:tc>
              <w:tc>
                <w:tcPr>
                  <w:tcW w:w="908"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100</w:t>
                  </w:r>
                </w:p>
              </w:tc>
              <w:tc>
                <w:tcPr>
                  <w:tcW w:w="12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320" w:type="dxa"/>
                  <w:tcBorders>
                    <w:top w:val="nil"/>
                    <w:left w:val="nil"/>
                    <w:bottom w:val="single" w:sz="4" w:space="0" w:color="auto"/>
                    <w:right w:val="single" w:sz="4" w:space="0" w:color="auto"/>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28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r w:rsidRPr="00813654">
                    <w:rPr>
                      <w:rFonts w:eastAsia="Times New Roman"/>
                      <w:color w:val="000000"/>
                      <w:sz w:val="18"/>
                      <w:szCs w:val="18"/>
                    </w:rPr>
                    <w:t> </w:t>
                  </w:r>
                </w:p>
              </w:tc>
              <w:tc>
                <w:tcPr>
                  <w:tcW w:w="1660" w:type="dxa"/>
                  <w:tcBorders>
                    <w:top w:val="nil"/>
                    <w:left w:val="nil"/>
                    <w:bottom w:val="single" w:sz="4" w:space="0" w:color="auto"/>
                    <w:right w:val="single" w:sz="4" w:space="0" w:color="auto"/>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r w:rsidRPr="00813654">
                    <w:rPr>
                      <w:rFonts w:eastAsia="Times New Roman"/>
                      <w:color w:val="000000"/>
                      <w:sz w:val="18"/>
                      <w:szCs w:val="18"/>
                    </w:rPr>
                    <w:t> </w:t>
                  </w:r>
                </w:p>
              </w:tc>
            </w:tr>
            <w:tr w:rsidR="00DA2DA0" w:rsidRPr="00813654" w:rsidTr="00244BD9">
              <w:trPr>
                <w:trHeight w:val="228"/>
              </w:trPr>
              <w:tc>
                <w:tcPr>
                  <w:tcW w:w="620" w:type="dxa"/>
                  <w:tcBorders>
                    <w:top w:val="nil"/>
                    <w:left w:val="nil"/>
                    <w:bottom w:val="nil"/>
                    <w:right w:val="nil"/>
                  </w:tcBorders>
                  <w:shd w:val="clear" w:color="auto" w:fill="auto"/>
                  <w:noWrap/>
                  <w:vAlign w:val="center"/>
                  <w:hideMark/>
                </w:tcPr>
                <w:p w:rsidR="00DA2DA0" w:rsidRDefault="00DA2DA0" w:rsidP="00244BD9">
                  <w:pPr>
                    <w:widowControl/>
                    <w:autoSpaceDE/>
                    <w:autoSpaceDN/>
                    <w:jc w:val="center"/>
                    <w:rPr>
                      <w:rFonts w:eastAsia="Times New Roman"/>
                      <w:color w:val="000000"/>
                      <w:sz w:val="18"/>
                      <w:szCs w:val="18"/>
                    </w:rPr>
                  </w:pPr>
                </w:p>
                <w:p w:rsidR="00DA2DA0" w:rsidRPr="00813654" w:rsidRDefault="00DA2DA0" w:rsidP="00244BD9">
                  <w:pPr>
                    <w:widowControl/>
                    <w:autoSpaceDE/>
                    <w:autoSpaceDN/>
                    <w:jc w:val="center"/>
                    <w:rPr>
                      <w:rFonts w:eastAsia="Times New Roman"/>
                      <w:color w:val="000000"/>
                      <w:sz w:val="18"/>
                      <w:szCs w:val="18"/>
                    </w:rPr>
                  </w:pPr>
                </w:p>
              </w:tc>
              <w:tc>
                <w:tcPr>
                  <w:tcW w:w="5524" w:type="dxa"/>
                  <w:tcBorders>
                    <w:top w:val="nil"/>
                    <w:left w:val="nil"/>
                    <w:bottom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c>
                <w:tcPr>
                  <w:tcW w:w="882" w:type="dxa"/>
                  <w:tcBorders>
                    <w:top w:val="nil"/>
                    <w:left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c>
                <w:tcPr>
                  <w:tcW w:w="908" w:type="dxa"/>
                  <w:tcBorders>
                    <w:top w:val="nil"/>
                    <w:left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c>
                <w:tcPr>
                  <w:tcW w:w="1260" w:type="dxa"/>
                  <w:tcBorders>
                    <w:top w:val="nil"/>
                    <w:left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160" w:type="dxa"/>
                  <w:tcBorders>
                    <w:top w:val="nil"/>
                    <w:left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320" w:type="dxa"/>
                  <w:tcBorders>
                    <w:top w:val="nil"/>
                    <w:left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280" w:type="dxa"/>
                  <w:tcBorders>
                    <w:top w:val="nil"/>
                    <w:left w:val="nil"/>
                    <w:right w:val="nil"/>
                  </w:tcBorders>
                  <w:shd w:val="clear" w:color="auto" w:fill="auto"/>
                  <w:noWrap/>
                  <w:vAlign w:val="center"/>
                  <w:hideMark/>
                </w:tcPr>
                <w:p w:rsidR="00DA2DA0" w:rsidRPr="00813654" w:rsidRDefault="00DA2DA0" w:rsidP="00244BD9">
                  <w:pPr>
                    <w:widowControl/>
                    <w:autoSpaceDE/>
                    <w:autoSpaceDN/>
                    <w:jc w:val="right"/>
                    <w:rPr>
                      <w:rFonts w:eastAsia="Times New Roman"/>
                      <w:color w:val="000000"/>
                      <w:sz w:val="18"/>
                      <w:szCs w:val="18"/>
                    </w:rPr>
                  </w:pPr>
                </w:p>
              </w:tc>
              <w:tc>
                <w:tcPr>
                  <w:tcW w:w="1660" w:type="dxa"/>
                  <w:tcBorders>
                    <w:top w:val="nil"/>
                    <w:left w:val="nil"/>
                    <w:right w:val="nil"/>
                  </w:tcBorders>
                  <w:shd w:val="clear" w:color="auto" w:fill="auto"/>
                  <w:noWrap/>
                  <w:vAlign w:val="center"/>
                  <w:hideMark/>
                </w:tcPr>
                <w:p w:rsidR="00DA2DA0" w:rsidRPr="00813654" w:rsidRDefault="00DA2DA0" w:rsidP="00244BD9">
                  <w:pPr>
                    <w:widowControl/>
                    <w:autoSpaceDE/>
                    <w:autoSpaceDN/>
                    <w:jc w:val="center"/>
                    <w:rPr>
                      <w:rFonts w:eastAsia="Times New Roman"/>
                      <w:color w:val="000000"/>
                      <w:sz w:val="18"/>
                      <w:szCs w:val="18"/>
                    </w:rPr>
                  </w:pPr>
                </w:p>
              </w:tc>
            </w:tr>
          </w:tbl>
          <w:p w:rsidR="00DA2DA0" w:rsidRPr="00813654" w:rsidRDefault="00DA2DA0" w:rsidP="00244BD9">
            <w:pPr>
              <w:widowControl/>
              <w:autoSpaceDE/>
              <w:autoSpaceDN/>
              <w:jc w:val="center"/>
              <w:rPr>
                <w:rFonts w:eastAsia="Times New Roman"/>
                <w:color w:val="000000"/>
                <w:sz w:val="18"/>
                <w:szCs w:val="18"/>
              </w:rPr>
            </w:pPr>
          </w:p>
        </w:tc>
        <w:tc>
          <w:tcPr>
            <w:tcW w:w="5715"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center"/>
              <w:rPr>
                <w:rFonts w:eastAsia="Times New Roman"/>
                <w:color w:val="000000"/>
              </w:rPr>
            </w:pPr>
          </w:p>
        </w:tc>
        <w:tc>
          <w:tcPr>
            <w:tcW w:w="837"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center"/>
              <w:rPr>
                <w:rFonts w:eastAsia="Times New Roman"/>
                <w:color w:val="000000"/>
                <w:sz w:val="18"/>
                <w:szCs w:val="18"/>
              </w:rPr>
            </w:pPr>
          </w:p>
        </w:tc>
        <w:tc>
          <w:tcPr>
            <w:tcW w:w="826"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center"/>
              <w:rPr>
                <w:rFonts w:eastAsia="Times New Roman"/>
                <w:color w:val="000000"/>
              </w:rPr>
            </w:pPr>
          </w:p>
        </w:tc>
        <w:tc>
          <w:tcPr>
            <w:tcW w:w="1480"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right"/>
              <w:rPr>
                <w:rFonts w:eastAsia="Times New Roman"/>
                <w:color w:val="000000"/>
                <w:sz w:val="18"/>
                <w:szCs w:val="18"/>
              </w:rPr>
            </w:pPr>
          </w:p>
        </w:tc>
        <w:tc>
          <w:tcPr>
            <w:tcW w:w="1480"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right"/>
              <w:rPr>
                <w:rFonts w:eastAsia="Times New Roman"/>
                <w:color w:val="000000"/>
              </w:rPr>
            </w:pPr>
          </w:p>
        </w:tc>
        <w:tc>
          <w:tcPr>
            <w:tcW w:w="1480"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right"/>
              <w:rPr>
                <w:rFonts w:eastAsia="Times New Roman"/>
                <w:color w:val="000000"/>
              </w:rPr>
            </w:pPr>
          </w:p>
        </w:tc>
        <w:tc>
          <w:tcPr>
            <w:tcW w:w="1480"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right"/>
              <w:rPr>
                <w:rFonts w:eastAsia="Times New Roman"/>
                <w:color w:val="000000"/>
              </w:rPr>
            </w:pPr>
          </w:p>
        </w:tc>
        <w:tc>
          <w:tcPr>
            <w:tcW w:w="2240" w:type="dxa"/>
            <w:tcBorders>
              <w:top w:val="nil"/>
              <w:left w:val="nil"/>
              <w:bottom w:val="nil"/>
              <w:right w:val="nil"/>
            </w:tcBorders>
            <w:shd w:val="clear" w:color="auto" w:fill="auto"/>
            <w:noWrap/>
            <w:vAlign w:val="center"/>
          </w:tcPr>
          <w:p w:rsidR="00DA2DA0" w:rsidRPr="00813654" w:rsidRDefault="00DA2DA0" w:rsidP="00244BD9">
            <w:pPr>
              <w:widowControl/>
              <w:autoSpaceDE/>
              <w:autoSpaceDN/>
              <w:jc w:val="center"/>
              <w:rPr>
                <w:rFonts w:ascii="Calibri" w:eastAsia="Times New Roman" w:hAnsi="Calibri" w:cs="Calibri"/>
                <w:color w:val="000000"/>
              </w:rPr>
            </w:pPr>
          </w:p>
        </w:tc>
      </w:tr>
    </w:tbl>
    <w:tbl>
      <w:tblPr>
        <w:tblStyle w:val="TableGrid"/>
        <w:tblW w:w="0" w:type="auto"/>
        <w:tblInd w:w="817" w:type="dxa"/>
        <w:tblLook w:val="04A0" w:firstRow="1" w:lastRow="0" w:firstColumn="1" w:lastColumn="0" w:noHBand="0" w:noVBand="1"/>
      </w:tblPr>
      <w:tblGrid>
        <w:gridCol w:w="2746"/>
        <w:gridCol w:w="3563"/>
        <w:gridCol w:w="3564"/>
        <w:gridCol w:w="3564"/>
      </w:tblGrid>
      <w:tr w:rsidR="00DA2DA0" w:rsidRPr="00546D74" w:rsidTr="00244BD9">
        <w:trPr>
          <w:trHeight w:val="530"/>
        </w:trPr>
        <w:tc>
          <w:tcPr>
            <w:tcW w:w="2746" w:type="dxa"/>
            <w:vMerge w:val="restart"/>
            <w:vAlign w:val="center"/>
          </w:tcPr>
          <w:p w:rsidR="00DA2DA0" w:rsidRPr="00546D74" w:rsidRDefault="00DA2DA0" w:rsidP="00244BD9">
            <w:pPr>
              <w:widowControl/>
              <w:autoSpaceDE/>
              <w:autoSpaceDN/>
              <w:jc w:val="center"/>
              <w:rPr>
                <w:rFonts w:eastAsia="Times New Roman"/>
                <w:color w:val="000000"/>
                <w:sz w:val="20"/>
                <w:szCs w:val="20"/>
              </w:rPr>
            </w:pPr>
            <w:r>
              <w:rPr>
                <w:rFonts w:eastAsia="Times New Roman"/>
                <w:color w:val="000000"/>
                <w:sz w:val="20"/>
                <w:szCs w:val="20"/>
              </w:rPr>
              <w:t>Укупно:</w:t>
            </w:r>
          </w:p>
        </w:tc>
        <w:tc>
          <w:tcPr>
            <w:tcW w:w="3563" w:type="dxa"/>
            <w:vAlign w:val="center"/>
          </w:tcPr>
          <w:p w:rsidR="00DA2DA0" w:rsidRPr="00546D74" w:rsidRDefault="00DA2DA0" w:rsidP="00244BD9">
            <w:pPr>
              <w:widowControl/>
              <w:autoSpaceDE/>
              <w:autoSpaceDN/>
              <w:jc w:val="center"/>
              <w:rPr>
                <w:rFonts w:eastAsia="Times New Roman"/>
                <w:color w:val="000000"/>
                <w:sz w:val="20"/>
                <w:szCs w:val="20"/>
              </w:rPr>
            </w:pPr>
            <w:r>
              <w:rPr>
                <w:rFonts w:eastAsia="Times New Roman"/>
                <w:color w:val="000000"/>
                <w:sz w:val="20"/>
                <w:szCs w:val="20"/>
              </w:rPr>
              <w:t>Укупно без ПДВ-а</w:t>
            </w:r>
          </w:p>
        </w:tc>
        <w:tc>
          <w:tcPr>
            <w:tcW w:w="3564" w:type="dxa"/>
            <w:vAlign w:val="center"/>
          </w:tcPr>
          <w:p w:rsidR="00DA2DA0" w:rsidRPr="00546D74" w:rsidRDefault="00DA2DA0" w:rsidP="00244BD9">
            <w:pPr>
              <w:widowControl/>
              <w:autoSpaceDE/>
              <w:autoSpaceDN/>
              <w:jc w:val="center"/>
              <w:rPr>
                <w:rFonts w:eastAsia="Times New Roman"/>
                <w:color w:val="000000"/>
                <w:sz w:val="20"/>
                <w:szCs w:val="20"/>
              </w:rPr>
            </w:pPr>
            <w:r>
              <w:rPr>
                <w:rFonts w:eastAsia="Times New Roman"/>
                <w:color w:val="000000"/>
                <w:sz w:val="20"/>
                <w:szCs w:val="20"/>
              </w:rPr>
              <w:t>Износ ПДВ-а</w:t>
            </w:r>
          </w:p>
        </w:tc>
        <w:tc>
          <w:tcPr>
            <w:tcW w:w="3564" w:type="dxa"/>
            <w:vAlign w:val="center"/>
          </w:tcPr>
          <w:p w:rsidR="00DA2DA0" w:rsidRPr="00546D74" w:rsidRDefault="00DA2DA0" w:rsidP="00244BD9">
            <w:pPr>
              <w:widowControl/>
              <w:autoSpaceDE/>
              <w:autoSpaceDN/>
              <w:jc w:val="center"/>
              <w:rPr>
                <w:rFonts w:eastAsia="Times New Roman"/>
                <w:color w:val="000000"/>
                <w:sz w:val="20"/>
                <w:szCs w:val="20"/>
              </w:rPr>
            </w:pPr>
            <w:r>
              <w:rPr>
                <w:rFonts w:eastAsia="Times New Roman"/>
                <w:color w:val="000000"/>
                <w:sz w:val="20"/>
                <w:szCs w:val="20"/>
              </w:rPr>
              <w:t>Укупно са ПДВ-ом</w:t>
            </w:r>
          </w:p>
        </w:tc>
      </w:tr>
      <w:tr w:rsidR="00DA2DA0" w:rsidTr="00244BD9">
        <w:trPr>
          <w:trHeight w:val="530"/>
        </w:trPr>
        <w:tc>
          <w:tcPr>
            <w:tcW w:w="2746" w:type="dxa"/>
            <w:vMerge/>
            <w:vAlign w:val="center"/>
          </w:tcPr>
          <w:p w:rsidR="00DA2DA0" w:rsidRDefault="00DA2DA0" w:rsidP="00244BD9">
            <w:pPr>
              <w:widowControl/>
              <w:autoSpaceDE/>
              <w:autoSpaceDN/>
              <w:jc w:val="center"/>
              <w:rPr>
                <w:rFonts w:eastAsia="Times New Roman"/>
                <w:color w:val="000000"/>
                <w:sz w:val="20"/>
                <w:szCs w:val="20"/>
              </w:rPr>
            </w:pPr>
          </w:p>
        </w:tc>
        <w:tc>
          <w:tcPr>
            <w:tcW w:w="3563" w:type="dxa"/>
            <w:vAlign w:val="center"/>
          </w:tcPr>
          <w:p w:rsidR="00DA2DA0" w:rsidRDefault="00DA2DA0" w:rsidP="00244BD9">
            <w:pPr>
              <w:widowControl/>
              <w:autoSpaceDE/>
              <w:autoSpaceDN/>
              <w:jc w:val="right"/>
              <w:rPr>
                <w:rFonts w:eastAsia="Times New Roman"/>
                <w:color w:val="000000"/>
                <w:sz w:val="20"/>
                <w:szCs w:val="20"/>
              </w:rPr>
            </w:pPr>
          </w:p>
        </w:tc>
        <w:tc>
          <w:tcPr>
            <w:tcW w:w="3564" w:type="dxa"/>
            <w:vAlign w:val="center"/>
          </w:tcPr>
          <w:p w:rsidR="00DA2DA0" w:rsidRDefault="00DA2DA0" w:rsidP="00244BD9">
            <w:pPr>
              <w:widowControl/>
              <w:autoSpaceDE/>
              <w:autoSpaceDN/>
              <w:jc w:val="right"/>
              <w:rPr>
                <w:rFonts w:eastAsia="Times New Roman"/>
                <w:color w:val="000000"/>
                <w:sz w:val="20"/>
                <w:szCs w:val="20"/>
              </w:rPr>
            </w:pPr>
          </w:p>
        </w:tc>
        <w:tc>
          <w:tcPr>
            <w:tcW w:w="3564" w:type="dxa"/>
            <w:vAlign w:val="center"/>
          </w:tcPr>
          <w:p w:rsidR="00DA2DA0" w:rsidRDefault="00DA2DA0" w:rsidP="00244BD9">
            <w:pPr>
              <w:widowControl/>
              <w:autoSpaceDE/>
              <w:autoSpaceDN/>
              <w:jc w:val="right"/>
              <w:rPr>
                <w:rFonts w:eastAsia="Times New Roman"/>
                <w:color w:val="000000"/>
                <w:sz w:val="20"/>
                <w:szCs w:val="20"/>
              </w:rPr>
            </w:pPr>
          </w:p>
        </w:tc>
      </w:tr>
    </w:tbl>
    <w:p w:rsidR="00DA2DA0" w:rsidRDefault="00DA2DA0" w:rsidP="00DA2DA0">
      <w:pPr>
        <w:tabs>
          <w:tab w:val="left" w:pos="5130"/>
        </w:tabs>
        <w:rPr>
          <w:rFonts w:ascii="Times New Roman" w:hAnsi="Times New Roman" w:cs="Times New Roman"/>
          <w:b/>
          <w:noProof/>
        </w:rPr>
      </w:pPr>
    </w:p>
    <w:p w:rsidR="00DA2DA0" w:rsidRDefault="00DA2DA0" w:rsidP="00DA2DA0">
      <w:r>
        <w:t xml:space="preserve">Место испоруке за све производе: f-co магацин крагујевачко </w:t>
      </w:r>
      <w:r>
        <w:rPr>
          <w:lang w:val="sr-Cyrl-RS"/>
        </w:rPr>
        <w:t>Д</w:t>
      </w:r>
      <w:r>
        <w:t>ечје одмаралиште на Копаонику.</w:t>
      </w:r>
    </w:p>
    <w:p w:rsidR="00DA2DA0" w:rsidRDefault="00DA2DA0" w:rsidP="00DA2DA0"/>
    <w:p w:rsidR="00DA2DA0" w:rsidRDefault="00DA2DA0" w:rsidP="00DA2DA0">
      <w:r>
        <w:t>Динамика рока испоруке: свакодневно.</w:t>
      </w:r>
    </w:p>
    <w:p w:rsidR="00DA2DA0" w:rsidRDefault="00DA2DA0" w:rsidP="00DA2DA0">
      <w:pPr>
        <w:tabs>
          <w:tab w:val="left" w:pos="5130"/>
        </w:tabs>
        <w:rPr>
          <w:rFonts w:ascii="Times New Roman" w:hAnsi="Times New Roman" w:cs="Times New Roman"/>
          <w:b/>
          <w:noProof/>
        </w:rPr>
      </w:pPr>
    </w:p>
    <w:p w:rsidR="00DA2DA0" w:rsidRPr="00C76123" w:rsidRDefault="00DA2DA0" w:rsidP="00DA2DA0">
      <w:pPr>
        <w:jc w:val="both"/>
        <w:rPr>
          <w:b/>
          <w:u w:val="single"/>
          <w:lang w:val="sr-Cyrl-CS"/>
        </w:rPr>
      </w:pPr>
      <w:r>
        <w:rPr>
          <w:u w:val="single"/>
          <w:lang w:val="sr-Cyrl-CS"/>
        </w:rPr>
        <w:t>Уколико је П</w:t>
      </w:r>
      <w:r w:rsidRPr="00C76123">
        <w:rPr>
          <w:u w:val="single"/>
          <w:lang w:val="sr-Cyrl-CS"/>
        </w:rPr>
        <w:t>онуђач произвођач мора приложити</w:t>
      </w:r>
      <w:r w:rsidRPr="00C76123">
        <w:rPr>
          <w:b/>
          <w:u w:val="single"/>
          <w:lang w:val="sr-Cyrl-CS"/>
        </w:rPr>
        <w:t xml:space="preserve"> :</w:t>
      </w:r>
    </w:p>
    <w:p w:rsidR="00DA2DA0" w:rsidRPr="00440964" w:rsidRDefault="00DA2DA0" w:rsidP="00DA2DA0">
      <w:pPr>
        <w:pStyle w:val="ListParagraph"/>
        <w:numPr>
          <w:ilvl w:val="0"/>
          <w:numId w:val="5"/>
        </w:numPr>
        <w:jc w:val="both"/>
        <w:rPr>
          <w:bCs/>
        </w:rPr>
      </w:pPr>
      <w:r w:rsidRPr="00440964">
        <w:rPr>
          <w:bCs/>
          <w:lang w:val="sr-Cyrl-CS"/>
        </w:rPr>
        <w:t>Решење Министарства пољопривреде, шумарства и водопривреде (Управе за ветерину) да објекат за производњу и прераду млека и млечних производа   испуњава ветеринарско санитарне услове и да је одобрен</w:t>
      </w:r>
      <w:r w:rsidRPr="00440964">
        <w:rPr>
          <w:bCs/>
        </w:rPr>
        <w:t>;</w:t>
      </w:r>
    </w:p>
    <w:p w:rsidR="00DA2DA0" w:rsidRPr="00C76123" w:rsidRDefault="00DA2DA0" w:rsidP="00DA2DA0">
      <w:pPr>
        <w:pStyle w:val="ListParagraph"/>
        <w:widowControl/>
        <w:numPr>
          <w:ilvl w:val="0"/>
          <w:numId w:val="5"/>
        </w:numPr>
        <w:autoSpaceDE/>
        <w:autoSpaceDN/>
        <w:contextualSpacing/>
        <w:jc w:val="both"/>
        <w:rPr>
          <w:b/>
          <w:lang w:val="sr-Cyrl-CS"/>
        </w:rPr>
      </w:pPr>
      <w:r w:rsidRPr="00C76123">
        <w:rPr>
          <w:lang w:val="sr-Cyrl-CS"/>
        </w:rPr>
        <w:t>Потврда  о уведеном</w:t>
      </w:r>
      <w:r w:rsidRPr="00C76123">
        <w:rPr>
          <w:b/>
          <w:lang w:val="sr-Cyrl-CS"/>
        </w:rPr>
        <w:t xml:space="preserve">  </w:t>
      </w:r>
      <w:r w:rsidRPr="00C76123">
        <w:t xml:space="preserve">HACCP </w:t>
      </w:r>
      <w:r w:rsidRPr="00C76123">
        <w:rPr>
          <w:b/>
          <w:lang w:val="sr-Cyrl-CS"/>
        </w:rPr>
        <w:t xml:space="preserve">   </w:t>
      </w:r>
      <w:r w:rsidRPr="00C76123">
        <w:rPr>
          <w:bCs/>
          <w:lang w:val="sr-Cyrl-CS"/>
        </w:rPr>
        <w:t>за производњу и прераду млека и млечних производа  (копија)</w:t>
      </w:r>
    </w:p>
    <w:p w:rsidR="00DA2DA0" w:rsidRPr="00C76123" w:rsidRDefault="00DA2DA0" w:rsidP="00DA2DA0">
      <w:pPr>
        <w:pStyle w:val="ListParagraph"/>
        <w:widowControl/>
        <w:numPr>
          <w:ilvl w:val="0"/>
          <w:numId w:val="5"/>
        </w:numPr>
        <w:autoSpaceDE/>
        <w:autoSpaceDN/>
        <w:contextualSpacing/>
        <w:jc w:val="both"/>
        <w:rPr>
          <w:lang w:val="sr-Cyrl-CS"/>
        </w:rPr>
      </w:pPr>
      <w:r w:rsidRPr="00C76123">
        <w:lastRenderedPageBreak/>
        <w:t xml:space="preserve">Копија уговора са овлашћеном кућом </w:t>
      </w:r>
      <w:r w:rsidRPr="00C76123">
        <w:rPr>
          <w:lang w:val="sr-Cyrl-CS"/>
        </w:rPr>
        <w:t xml:space="preserve"> ( ЗЗЈЗ   или др.овлашћена кућа ) за испитивање готових производа </w:t>
      </w:r>
      <w:r w:rsidRPr="00C76123">
        <w:t>да су исти под редовним надзором и контролом безбедности – здравствене исправности од стране овлашћених институција које ту контролу спроводе у складу са важећим</w:t>
      </w:r>
      <w:r w:rsidRPr="00C76123">
        <w:rPr>
          <w:spacing w:val="-4"/>
        </w:rPr>
        <w:t xml:space="preserve"> </w:t>
      </w:r>
      <w:r w:rsidRPr="00C76123">
        <w:t>прописима.</w:t>
      </w:r>
    </w:p>
    <w:p w:rsidR="00DA2DA0" w:rsidRPr="00C76123" w:rsidRDefault="00DA2DA0" w:rsidP="00DA2DA0">
      <w:pPr>
        <w:pStyle w:val="ListParagraph"/>
        <w:jc w:val="both"/>
        <w:rPr>
          <w:lang w:val="sr-Cyrl-CS"/>
        </w:rPr>
      </w:pPr>
    </w:p>
    <w:p w:rsidR="00DA2DA0" w:rsidRPr="00C76123" w:rsidRDefault="00DA2DA0" w:rsidP="00DA2DA0">
      <w:pPr>
        <w:jc w:val="both"/>
        <w:rPr>
          <w:bCs/>
          <w:lang w:val="sr-Cyrl-CS"/>
        </w:rPr>
      </w:pPr>
      <w:r w:rsidRPr="00C76123">
        <w:rPr>
          <w:lang w:val="sr-Cyrl-CS"/>
        </w:rPr>
        <w:t xml:space="preserve">Понуђач мора поседовати </w:t>
      </w:r>
      <w:r w:rsidRPr="00C76123">
        <w:rPr>
          <w:bCs/>
          <w:lang w:val="sr-Cyrl-CS"/>
        </w:rPr>
        <w:t>расхладно доставно  возило – достава млека и млечних производа у температурном режиму до максималних +</w:t>
      </w:r>
      <w:r>
        <w:rPr>
          <w:bCs/>
        </w:rPr>
        <w:t xml:space="preserve"> </w:t>
      </w:r>
      <w:r w:rsidRPr="00C76123">
        <w:rPr>
          <w:bCs/>
          <w:lang w:val="sr-Cyrl-CS"/>
        </w:rPr>
        <w:t>4º</w:t>
      </w:r>
      <w:r w:rsidRPr="00C76123">
        <w:rPr>
          <w:bCs/>
        </w:rPr>
        <w:t>C</w:t>
      </w:r>
      <w:r>
        <w:rPr>
          <w:bCs/>
        </w:rPr>
        <w:t>.</w:t>
      </w:r>
    </w:p>
    <w:p w:rsidR="00DA2DA0" w:rsidRDefault="00DA2DA0" w:rsidP="00DA2DA0">
      <w:pPr>
        <w:tabs>
          <w:tab w:val="left" w:pos="5130"/>
        </w:tabs>
        <w:rPr>
          <w:rFonts w:ascii="Times New Roman" w:hAnsi="Times New Roman" w:cs="Times New Roman"/>
          <w:b/>
          <w:noProof/>
        </w:rPr>
      </w:pPr>
    </w:p>
    <w:p w:rsidR="00DA2DA0" w:rsidRPr="00E62983" w:rsidRDefault="00DA2DA0" w:rsidP="00DA2DA0">
      <w:pPr>
        <w:ind w:left="373"/>
        <w:rPr>
          <w:b/>
        </w:rPr>
      </w:pPr>
      <w:r w:rsidRPr="00E62983">
        <w:rPr>
          <w:b/>
          <w:u w:val="single"/>
        </w:rPr>
        <w:t>Напомена :</w:t>
      </w:r>
    </w:p>
    <w:p w:rsidR="00DA2DA0" w:rsidRPr="007A19DE" w:rsidRDefault="00DA2DA0" w:rsidP="00DA2DA0">
      <w:pPr>
        <w:pStyle w:val="ListParagraph"/>
        <w:numPr>
          <w:ilvl w:val="0"/>
          <w:numId w:val="2"/>
        </w:numPr>
        <w:tabs>
          <w:tab w:val="left" w:pos="14884"/>
        </w:tabs>
        <w:ind w:left="426" w:right="85" w:hanging="89"/>
        <w:jc w:val="both"/>
      </w:pPr>
      <w:r w:rsidRPr="007A19DE">
        <w:t>Производи морају задовољавати важеће Законе, Правилнике и прописе Републике Србије за врсту животне намирнице која се испоручује</w:t>
      </w:r>
      <w:r>
        <w:t>,</w:t>
      </w:r>
      <w:r w:rsidRPr="007A19DE">
        <w:t xml:space="preserve"> а</w:t>
      </w:r>
      <w:r w:rsidRPr="007A19DE">
        <w:rPr>
          <w:spacing w:val="-3"/>
        </w:rPr>
        <w:t xml:space="preserve"> </w:t>
      </w:r>
      <w:r w:rsidRPr="007A19DE">
        <w:t>нарочито:</w:t>
      </w:r>
    </w:p>
    <w:p w:rsidR="00DA2DA0" w:rsidRPr="00267E92" w:rsidRDefault="00DA2DA0" w:rsidP="00DA2DA0">
      <w:pPr>
        <w:pStyle w:val="ListParagraph"/>
        <w:numPr>
          <w:ilvl w:val="0"/>
          <w:numId w:val="3"/>
        </w:numPr>
        <w:tabs>
          <w:tab w:val="left" w:pos="484"/>
          <w:tab w:val="left" w:pos="14884"/>
        </w:tabs>
        <w:ind w:right="85"/>
        <w:jc w:val="both"/>
      </w:pPr>
      <w:r w:rsidRPr="00267E92">
        <w:t>Закон о безбедности хране („Сл.гласник РС бр.</w:t>
      </w:r>
      <w:r w:rsidRPr="00267E92">
        <w:rPr>
          <w:spacing w:val="-2"/>
        </w:rPr>
        <w:t xml:space="preserve"> </w:t>
      </w:r>
      <w:r w:rsidRPr="00267E92">
        <w:t>41/09),</w:t>
      </w:r>
    </w:p>
    <w:p w:rsidR="00DA2DA0" w:rsidRPr="00267E92" w:rsidRDefault="00DA2DA0" w:rsidP="00DA2DA0">
      <w:pPr>
        <w:pStyle w:val="ListParagraph"/>
        <w:numPr>
          <w:ilvl w:val="0"/>
          <w:numId w:val="3"/>
        </w:numPr>
        <w:tabs>
          <w:tab w:val="left" w:pos="527"/>
          <w:tab w:val="left" w:pos="14884"/>
        </w:tabs>
        <w:ind w:right="85"/>
        <w:jc w:val="both"/>
      </w:pPr>
      <w:r w:rsidRPr="00267E92">
        <w:t>Правилник о квалитету и другим захтевима за млеко, млечне производе, композитне млечне производе и стартер</w:t>
      </w:r>
      <w:r w:rsidRPr="00F23BB6">
        <w:rPr>
          <w:spacing w:val="5"/>
        </w:rPr>
        <w:t xml:space="preserve"> </w:t>
      </w:r>
      <w:r w:rsidRPr="00267E92">
        <w:t>културе</w:t>
      </w:r>
      <w:r w:rsidRPr="00F23BB6">
        <w:rPr>
          <w:spacing w:val="6"/>
        </w:rPr>
        <w:t xml:space="preserve"> </w:t>
      </w:r>
      <w:r w:rsidRPr="00267E92">
        <w:t>(„Сл.лист</w:t>
      </w:r>
      <w:r w:rsidRPr="00F23BB6">
        <w:rPr>
          <w:spacing w:val="5"/>
        </w:rPr>
        <w:t xml:space="preserve"> </w:t>
      </w:r>
      <w:r w:rsidRPr="00267E92">
        <w:t>СРЈ“</w:t>
      </w:r>
      <w:r w:rsidRPr="00F23BB6">
        <w:rPr>
          <w:spacing w:val="6"/>
        </w:rPr>
        <w:t xml:space="preserve"> </w:t>
      </w:r>
      <w:r w:rsidRPr="00267E92">
        <w:t>бр.</w:t>
      </w:r>
      <w:r w:rsidRPr="00F23BB6">
        <w:rPr>
          <w:spacing w:val="4"/>
        </w:rPr>
        <w:t xml:space="preserve"> </w:t>
      </w:r>
      <w:r w:rsidRPr="00267E92">
        <w:t>26/02</w:t>
      </w:r>
      <w:r w:rsidRPr="00F23BB6">
        <w:rPr>
          <w:spacing w:val="6"/>
        </w:rPr>
        <w:t xml:space="preserve"> </w:t>
      </w:r>
      <w:r w:rsidRPr="00267E92">
        <w:t>и</w:t>
      </w:r>
      <w:r w:rsidRPr="00F23BB6">
        <w:rPr>
          <w:spacing w:val="6"/>
        </w:rPr>
        <w:t xml:space="preserve"> </w:t>
      </w:r>
      <w:r w:rsidRPr="00267E92">
        <w:t>„Сл.лист</w:t>
      </w:r>
      <w:r w:rsidRPr="00F23BB6">
        <w:rPr>
          <w:spacing w:val="5"/>
        </w:rPr>
        <w:t xml:space="preserve"> </w:t>
      </w:r>
      <w:r w:rsidRPr="00267E92">
        <w:t>СЦГ“</w:t>
      </w:r>
      <w:r w:rsidRPr="00F23BB6">
        <w:rPr>
          <w:spacing w:val="5"/>
        </w:rPr>
        <w:t xml:space="preserve"> </w:t>
      </w:r>
      <w:r w:rsidRPr="00267E92">
        <w:t>бр.</w:t>
      </w:r>
      <w:r w:rsidRPr="00F23BB6">
        <w:rPr>
          <w:spacing w:val="4"/>
        </w:rPr>
        <w:t xml:space="preserve"> </w:t>
      </w:r>
      <w:r w:rsidRPr="00267E92">
        <w:t>56/03</w:t>
      </w:r>
      <w:r w:rsidRPr="00F23BB6">
        <w:rPr>
          <w:spacing w:val="13"/>
        </w:rPr>
        <w:t xml:space="preserve"> </w:t>
      </w:r>
      <w:r w:rsidRPr="00267E92">
        <w:t>–</w:t>
      </w:r>
      <w:r w:rsidRPr="00F23BB6">
        <w:rPr>
          <w:spacing w:val="4"/>
        </w:rPr>
        <w:t xml:space="preserve"> </w:t>
      </w:r>
      <w:r w:rsidRPr="00267E92">
        <w:t>др.</w:t>
      </w:r>
      <w:r w:rsidRPr="00F23BB6">
        <w:rPr>
          <w:spacing w:val="4"/>
        </w:rPr>
        <w:t xml:space="preserve"> </w:t>
      </w:r>
      <w:r w:rsidRPr="00267E92">
        <w:t>правилник,</w:t>
      </w:r>
      <w:r w:rsidRPr="00F23BB6">
        <w:rPr>
          <w:spacing w:val="4"/>
        </w:rPr>
        <w:t xml:space="preserve"> </w:t>
      </w:r>
      <w:r w:rsidRPr="00267E92">
        <w:t>4/04</w:t>
      </w:r>
      <w:r w:rsidRPr="00F23BB6">
        <w:rPr>
          <w:spacing w:val="7"/>
        </w:rPr>
        <w:t xml:space="preserve"> </w:t>
      </w:r>
      <w:r w:rsidRPr="00267E92">
        <w:t>–</w:t>
      </w:r>
      <w:r w:rsidRPr="00F23BB6">
        <w:rPr>
          <w:spacing w:val="7"/>
        </w:rPr>
        <w:t xml:space="preserve"> </w:t>
      </w:r>
      <w:r w:rsidRPr="00267E92">
        <w:t>др.</w:t>
      </w:r>
      <w:r w:rsidRPr="00F23BB6">
        <w:rPr>
          <w:spacing w:val="5"/>
        </w:rPr>
        <w:t xml:space="preserve"> </w:t>
      </w:r>
      <w:r w:rsidRPr="00267E92">
        <w:t>правилник</w:t>
      </w:r>
      <w:r w:rsidRPr="00F23BB6">
        <w:rPr>
          <w:spacing w:val="4"/>
        </w:rPr>
        <w:t xml:space="preserve"> </w:t>
      </w:r>
      <w:r w:rsidRPr="00267E92">
        <w:t>5/04</w:t>
      </w:r>
      <w:r w:rsidRPr="00F23BB6">
        <w:rPr>
          <w:spacing w:val="4"/>
        </w:rPr>
        <w:t xml:space="preserve"> </w:t>
      </w:r>
      <w:r w:rsidRPr="00267E92">
        <w:t>и</w:t>
      </w:r>
      <w:r w:rsidRPr="00F23BB6">
        <w:t xml:space="preserve"> </w:t>
      </w:r>
      <w:r w:rsidRPr="00267E92">
        <w:t>„Сл. гласник РС“ бр. 21/09 - др. правилник, „Сл.гласник“ бр. 33/10- др. правилник),</w:t>
      </w:r>
    </w:p>
    <w:p w:rsidR="00DA2DA0" w:rsidRPr="00267E92" w:rsidRDefault="00DA2DA0" w:rsidP="00DA2DA0">
      <w:pPr>
        <w:pStyle w:val="ListParagraph"/>
        <w:numPr>
          <w:ilvl w:val="0"/>
          <w:numId w:val="3"/>
        </w:numPr>
        <w:tabs>
          <w:tab w:val="left" w:pos="494"/>
          <w:tab w:val="left" w:pos="14884"/>
        </w:tabs>
        <w:ind w:right="85"/>
        <w:jc w:val="both"/>
      </w:pPr>
      <w:r w:rsidRPr="00267E92">
        <w:t>Правилник о квалитету млека и стартер култура („Сл. гласник“ РС бр. 33/2010.,69/2010.,43/2013.- др. правилник и</w:t>
      </w:r>
      <w:r w:rsidRPr="00267E92">
        <w:rPr>
          <w:spacing w:val="-1"/>
        </w:rPr>
        <w:t xml:space="preserve"> </w:t>
      </w:r>
      <w:r w:rsidRPr="00267E92">
        <w:t>34/2014.).</w:t>
      </w:r>
    </w:p>
    <w:p w:rsidR="00DA2DA0" w:rsidRPr="00267E92" w:rsidRDefault="00DA2DA0" w:rsidP="00DA2DA0">
      <w:pPr>
        <w:pStyle w:val="ListParagraph"/>
        <w:numPr>
          <w:ilvl w:val="0"/>
          <w:numId w:val="3"/>
        </w:numPr>
        <w:tabs>
          <w:tab w:val="left" w:pos="506"/>
          <w:tab w:val="left" w:pos="14884"/>
        </w:tabs>
        <w:ind w:right="85"/>
        <w:jc w:val="both"/>
      </w:pPr>
      <w:r w:rsidRPr="00267E92">
        <w:t>Правилник о општим и посебним условима хигијене хране у било којој фази производње, прераде и промета („Сл. гласник РС“ бр.</w:t>
      </w:r>
      <w:r w:rsidRPr="00267E92">
        <w:rPr>
          <w:spacing w:val="-1"/>
        </w:rPr>
        <w:t xml:space="preserve"> </w:t>
      </w:r>
      <w:r w:rsidRPr="00267E92">
        <w:t>72/10),</w:t>
      </w:r>
    </w:p>
    <w:p w:rsidR="00DA2DA0" w:rsidRPr="00267E92" w:rsidRDefault="00DA2DA0" w:rsidP="00DA2DA0">
      <w:pPr>
        <w:pStyle w:val="ListParagraph"/>
        <w:numPr>
          <w:ilvl w:val="0"/>
          <w:numId w:val="3"/>
        </w:numPr>
        <w:tabs>
          <w:tab w:val="left" w:pos="484"/>
          <w:tab w:val="left" w:pos="14884"/>
        </w:tabs>
        <w:ind w:right="85"/>
        <w:jc w:val="both"/>
      </w:pPr>
      <w:r w:rsidRPr="00267E92">
        <w:t>Правилник о прехрамбеним адитивима („Сл. гласник“ РС бр.</w:t>
      </w:r>
      <w:r w:rsidRPr="00267E92">
        <w:rPr>
          <w:spacing w:val="-7"/>
        </w:rPr>
        <w:t xml:space="preserve"> </w:t>
      </w:r>
      <w:r w:rsidRPr="00267E92">
        <w:t>63/13).</w:t>
      </w:r>
    </w:p>
    <w:p w:rsidR="00DA2DA0" w:rsidRPr="00267E92" w:rsidRDefault="00DA2DA0" w:rsidP="00DA2DA0">
      <w:pPr>
        <w:pStyle w:val="ListParagraph"/>
        <w:numPr>
          <w:ilvl w:val="0"/>
          <w:numId w:val="3"/>
        </w:numPr>
        <w:tabs>
          <w:tab w:val="left" w:pos="484"/>
          <w:tab w:val="left" w:pos="14884"/>
        </w:tabs>
        <w:ind w:right="85"/>
        <w:jc w:val="both"/>
      </w:pPr>
      <w:r w:rsidRPr="00267E92">
        <w:t>Закон о здравственој исправности предмета опште употребе („Сл. гласник РС“ бр.</w:t>
      </w:r>
      <w:r w:rsidRPr="00267E92">
        <w:rPr>
          <w:spacing w:val="-8"/>
        </w:rPr>
        <w:t xml:space="preserve"> </w:t>
      </w:r>
      <w:r w:rsidRPr="00267E92">
        <w:t>92/11),</w:t>
      </w:r>
    </w:p>
    <w:p w:rsidR="00DA2DA0" w:rsidRPr="00267E92" w:rsidRDefault="00DA2DA0" w:rsidP="00DA2DA0">
      <w:pPr>
        <w:pStyle w:val="ListParagraph"/>
        <w:numPr>
          <w:ilvl w:val="0"/>
          <w:numId w:val="3"/>
        </w:numPr>
        <w:tabs>
          <w:tab w:val="left" w:pos="511"/>
          <w:tab w:val="left" w:pos="14884"/>
        </w:tabs>
        <w:ind w:right="85"/>
        <w:jc w:val="both"/>
      </w:pPr>
      <w:r w:rsidRPr="00267E92">
        <w:t>Правилник о санитарно-хигијенским условима за објекте у којима се обавља производња и промет животних намирница и предмета опште употребе (Сл. гласник РС“ бр.6/97,</w:t>
      </w:r>
      <w:r w:rsidRPr="00267E92">
        <w:rPr>
          <w:spacing w:val="-5"/>
        </w:rPr>
        <w:t xml:space="preserve"> </w:t>
      </w:r>
      <w:r w:rsidRPr="00267E92">
        <w:t>52/97),</w:t>
      </w:r>
    </w:p>
    <w:p w:rsidR="00DA2DA0" w:rsidRPr="00267E92" w:rsidRDefault="00DA2DA0" w:rsidP="00DA2DA0">
      <w:pPr>
        <w:pStyle w:val="ListParagraph"/>
        <w:numPr>
          <w:ilvl w:val="0"/>
          <w:numId w:val="3"/>
        </w:numPr>
        <w:tabs>
          <w:tab w:val="left" w:pos="484"/>
          <w:tab w:val="left" w:pos="14884"/>
        </w:tabs>
        <w:ind w:right="85"/>
        <w:jc w:val="both"/>
      </w:pPr>
      <w:r w:rsidRPr="00267E92">
        <w:t>Правилник о декларисању, означавању и рекламирању хране („Сл.гласник РС“ бр. 85/13 и</w:t>
      </w:r>
      <w:r w:rsidRPr="00267E92">
        <w:rPr>
          <w:spacing w:val="-13"/>
        </w:rPr>
        <w:t xml:space="preserve"> </w:t>
      </w:r>
      <w:r w:rsidRPr="00267E92">
        <w:t>101/13),</w:t>
      </w:r>
    </w:p>
    <w:p w:rsidR="00DA2DA0" w:rsidRPr="00267E92" w:rsidRDefault="00DA2DA0" w:rsidP="00DA2DA0">
      <w:pPr>
        <w:pStyle w:val="ListParagraph"/>
        <w:numPr>
          <w:ilvl w:val="0"/>
          <w:numId w:val="3"/>
        </w:numPr>
        <w:tabs>
          <w:tab w:val="left" w:pos="511"/>
          <w:tab w:val="left" w:pos="14884"/>
          <w:tab w:val="left" w:pos="15026"/>
        </w:tabs>
        <w:ind w:right="85"/>
        <w:jc w:val="both"/>
      </w:pPr>
      <w:r w:rsidRPr="00267E92">
        <w:t xml:space="preserve">Правилник о декларисању, означавању и рекламирању хране </w:t>
      </w:r>
      <w:r>
        <w:t>(„</w:t>
      </w:r>
      <w:r w:rsidRPr="00267E92">
        <w:t>Сл.гласник РС</w:t>
      </w:r>
      <w:r>
        <w:t>“ бр.</w:t>
      </w:r>
      <w:r w:rsidRPr="00267E92">
        <w:t xml:space="preserve"> 19/2017</w:t>
      </w:r>
      <w:r>
        <w:t>)</w:t>
      </w:r>
      <w:r w:rsidRPr="00267E92">
        <w:t xml:space="preserve"> и друге сходно врсти и категорији животних намирница за које се</w:t>
      </w:r>
      <w:r w:rsidRPr="00267E92">
        <w:rPr>
          <w:spacing w:val="-5"/>
        </w:rPr>
        <w:t xml:space="preserve"> </w:t>
      </w:r>
      <w:r w:rsidRPr="00267E92">
        <w:t>конкурише.</w:t>
      </w:r>
    </w:p>
    <w:p w:rsidR="00DA2DA0" w:rsidRPr="00267E92" w:rsidRDefault="00DA2DA0" w:rsidP="00DA2DA0">
      <w:pPr>
        <w:pStyle w:val="ListParagraph"/>
        <w:numPr>
          <w:ilvl w:val="0"/>
          <w:numId w:val="3"/>
        </w:numPr>
        <w:tabs>
          <w:tab w:val="left" w:pos="520"/>
          <w:tab w:val="left" w:pos="14884"/>
        </w:tabs>
        <w:ind w:right="85"/>
        <w:jc w:val="both"/>
      </w:pPr>
      <w:r w:rsidRPr="00267E92">
        <w:t>Правилник о границама радиоактивне контаминације лица, радне и животне средине и начину спровођења деконтаминације ("Сл.гласник РС", бр.</w:t>
      </w:r>
      <w:r w:rsidRPr="00267E92">
        <w:rPr>
          <w:spacing w:val="-3"/>
        </w:rPr>
        <w:t xml:space="preserve"> </w:t>
      </w:r>
      <w:r w:rsidRPr="00267E92">
        <w:t>38/2011)</w:t>
      </w:r>
    </w:p>
    <w:p w:rsidR="00DA2DA0" w:rsidRPr="00267E92" w:rsidRDefault="00DA2DA0" w:rsidP="00DA2DA0">
      <w:pPr>
        <w:pStyle w:val="ListParagraph"/>
        <w:numPr>
          <w:ilvl w:val="0"/>
          <w:numId w:val="2"/>
        </w:numPr>
        <w:tabs>
          <w:tab w:val="left" w:pos="544"/>
          <w:tab w:val="left" w:pos="14884"/>
        </w:tabs>
        <w:ind w:left="264" w:right="85" w:firstLine="0"/>
        <w:jc w:val="both"/>
      </w:pPr>
      <w:r w:rsidRPr="00267E92">
        <w:t>Добављач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w:t>
      </w:r>
      <w:r w:rsidRPr="004F3AC6">
        <w:rPr>
          <w:spacing w:val="10"/>
        </w:rPr>
        <w:t xml:space="preserve"> </w:t>
      </w:r>
      <w:r w:rsidRPr="00267E92">
        <w:t>здравственој</w:t>
      </w:r>
      <w:r w:rsidRPr="004F3AC6">
        <w:t xml:space="preserve"> </w:t>
      </w:r>
      <w:r w:rsidRPr="00267E92">
        <w:t>исправности дефинисаних Законом о безбедности хране и другим прописима. Добављач одговара Наручиоцу за квалитет добара у року означеном на декларацији производа.</w:t>
      </w:r>
    </w:p>
    <w:p w:rsidR="00DA2DA0" w:rsidRPr="00356C6F" w:rsidRDefault="00DA2DA0" w:rsidP="00DA2DA0">
      <w:pPr>
        <w:pStyle w:val="ListParagraph"/>
        <w:numPr>
          <w:ilvl w:val="0"/>
          <w:numId w:val="4"/>
        </w:numPr>
        <w:tabs>
          <w:tab w:val="left" w:pos="14884"/>
        </w:tabs>
        <w:ind w:left="284" w:right="85"/>
        <w:jc w:val="both"/>
      </w:pPr>
      <w:r w:rsidRPr="00356C6F">
        <w:t>Наручилац на пријему контролише карактеристике производа, а по захтевима везаним за безбедност хране што подразумева:</w:t>
      </w:r>
    </w:p>
    <w:p w:rsidR="00DA2DA0" w:rsidRPr="00267E92" w:rsidRDefault="00DA2DA0" w:rsidP="00DA2DA0">
      <w:pPr>
        <w:pStyle w:val="ListParagraph"/>
        <w:numPr>
          <w:ilvl w:val="0"/>
          <w:numId w:val="4"/>
        </w:numPr>
        <w:tabs>
          <w:tab w:val="left" w:pos="284"/>
          <w:tab w:val="left" w:pos="14884"/>
        </w:tabs>
        <w:ind w:left="284" w:right="85"/>
        <w:jc w:val="both"/>
      </w:pPr>
      <w:r w:rsidRPr="00267E92">
        <w:t>Правилно декларисање производа, а садржај да поседује органолептичке карактеристике својствене тржишном типу</w:t>
      </w:r>
      <w:r w:rsidRPr="004F3AC6">
        <w:rPr>
          <w:spacing w:val="-2"/>
        </w:rPr>
        <w:t xml:space="preserve"> </w:t>
      </w:r>
      <w:r w:rsidRPr="00267E92">
        <w:t>робе.</w:t>
      </w:r>
    </w:p>
    <w:p w:rsidR="00DA2DA0" w:rsidRPr="00267E92" w:rsidRDefault="00DA2DA0" w:rsidP="00DA2DA0">
      <w:pPr>
        <w:pStyle w:val="ListParagraph"/>
        <w:numPr>
          <w:ilvl w:val="0"/>
          <w:numId w:val="1"/>
        </w:numPr>
        <w:tabs>
          <w:tab w:val="left" w:pos="537"/>
          <w:tab w:val="left" w:pos="14884"/>
        </w:tabs>
        <w:ind w:right="85"/>
        <w:jc w:val="both"/>
      </w:pPr>
      <w:r w:rsidRPr="00267E92">
        <w:t>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 Пријемно контролисање ће се вршити по „принципу случајног узорка“</w:t>
      </w:r>
      <w:r w:rsidRPr="004F3AC6">
        <w:rPr>
          <w:spacing w:val="-2"/>
        </w:rPr>
        <w:t xml:space="preserve"> </w:t>
      </w:r>
      <w:r w:rsidRPr="00267E92">
        <w:t>.</w:t>
      </w:r>
    </w:p>
    <w:p w:rsidR="00DA2DA0" w:rsidRPr="00267E92" w:rsidRDefault="00DA2DA0" w:rsidP="00DA2DA0">
      <w:pPr>
        <w:pStyle w:val="ListParagraph"/>
        <w:numPr>
          <w:ilvl w:val="0"/>
          <w:numId w:val="1"/>
        </w:numPr>
        <w:tabs>
          <w:tab w:val="left" w:pos="14884"/>
        </w:tabs>
        <w:ind w:right="85"/>
        <w:jc w:val="both"/>
      </w:pPr>
      <w:r w:rsidRPr="00267E92">
        <w:t>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враћенa целокупнa испорука.</w:t>
      </w:r>
    </w:p>
    <w:p w:rsidR="00DA2DA0" w:rsidRPr="00267E92" w:rsidRDefault="00DA2DA0" w:rsidP="00DA2DA0">
      <w:pPr>
        <w:pStyle w:val="ListParagraph"/>
        <w:numPr>
          <w:ilvl w:val="0"/>
          <w:numId w:val="1"/>
        </w:numPr>
        <w:tabs>
          <w:tab w:val="left" w:pos="501"/>
          <w:tab w:val="left" w:pos="14884"/>
        </w:tabs>
        <w:ind w:right="85"/>
        <w:jc w:val="both"/>
      </w:pPr>
      <w:r w:rsidRPr="00267E92">
        <w:t xml:space="preserve">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w:t>
      </w:r>
      <w:r w:rsidRPr="00267E92">
        <w:lastRenderedPageBreak/>
        <w:t>датум производње, употребљиво до</w:t>
      </w:r>
      <w:r w:rsidRPr="004F3AC6">
        <w:rPr>
          <w:spacing w:val="-12"/>
        </w:rPr>
        <w:t xml:space="preserve"> </w:t>
      </w:r>
      <w:r w:rsidRPr="00267E92">
        <w:t>...</w:t>
      </w:r>
    </w:p>
    <w:p w:rsidR="00DA2DA0" w:rsidRPr="00267E92" w:rsidRDefault="00DA2DA0" w:rsidP="00DA2DA0">
      <w:pPr>
        <w:pStyle w:val="ListParagraph"/>
        <w:numPr>
          <w:ilvl w:val="0"/>
          <w:numId w:val="1"/>
        </w:numPr>
        <w:tabs>
          <w:tab w:val="left" w:pos="491"/>
          <w:tab w:val="left" w:pos="14884"/>
        </w:tabs>
        <w:ind w:right="85"/>
        <w:jc w:val="both"/>
      </w:pPr>
      <w:r w:rsidRPr="00267E92">
        <w:t>Декларација мора бити лако уочљива, јасна и читка она не сме да садржи ознаке ( називе слике, цртеже и др.) које би могле довести у заблуду наручиоца у погледу порекла и квалитета производа и мора бити на српском језику.</w:t>
      </w:r>
    </w:p>
    <w:p w:rsidR="00DA2DA0" w:rsidRPr="00267E92" w:rsidRDefault="00DA2DA0" w:rsidP="00DA2DA0">
      <w:pPr>
        <w:pStyle w:val="ListParagraph"/>
        <w:numPr>
          <w:ilvl w:val="0"/>
          <w:numId w:val="2"/>
        </w:numPr>
        <w:tabs>
          <w:tab w:val="left" w:pos="602"/>
          <w:tab w:val="left" w:pos="14884"/>
        </w:tabs>
        <w:ind w:left="284" w:right="85" w:firstLine="0"/>
        <w:jc w:val="both"/>
      </w:pPr>
      <w:r w:rsidRPr="00267E92">
        <w:t>Наручилац задржава право да у било ком моменту трајања уговора, уколико процени као потребно, узорак испоручене животне намирнице пошаље на лабораторијску анализу коју сматра целисходном. Узорковање ће вршити комисија именована од стране наручиоца. Добављач ће бити обавештени о термину и предмету узорковања да истом присуствују. Неодазивање добављача на позив наручиоца, не зауставља процес узороковања. Трошак анализа сноси добављач. Анализа ће се у складу са захтевима Закона о техничким захтевима за производе и оцењивање усаглашености обављати у лабораторијама именованог тела за оцену усаглашености по избору наручиоца, а за рачун и за терет</w:t>
      </w:r>
      <w:r w:rsidRPr="00267E92">
        <w:rPr>
          <w:spacing w:val="-10"/>
        </w:rPr>
        <w:t xml:space="preserve"> </w:t>
      </w:r>
      <w:r w:rsidRPr="00267E92">
        <w:t>испоручиоца.</w:t>
      </w:r>
    </w:p>
    <w:p w:rsidR="00DA2DA0" w:rsidRPr="00267E92" w:rsidRDefault="00DA2DA0" w:rsidP="00DA2DA0">
      <w:pPr>
        <w:pStyle w:val="ListParagraph"/>
        <w:numPr>
          <w:ilvl w:val="0"/>
          <w:numId w:val="2"/>
        </w:numPr>
        <w:tabs>
          <w:tab w:val="left" w:pos="284"/>
          <w:tab w:val="left" w:pos="14884"/>
        </w:tabs>
        <w:ind w:left="594" w:right="85" w:hanging="222"/>
        <w:jc w:val="both"/>
      </w:pPr>
      <w:r w:rsidRPr="00267E92">
        <w:t>Испоруке ће се обављати према требовању и динамици коју одреди</w:t>
      </w:r>
      <w:r w:rsidRPr="00267E92">
        <w:rPr>
          <w:spacing w:val="-10"/>
        </w:rPr>
        <w:t xml:space="preserve"> </w:t>
      </w:r>
      <w:r w:rsidRPr="00267E92">
        <w:t>Наручилац.</w:t>
      </w:r>
    </w:p>
    <w:p w:rsidR="00DA2DA0" w:rsidRPr="007A19DE" w:rsidRDefault="00DA2DA0" w:rsidP="00DA2DA0">
      <w:pPr>
        <w:pStyle w:val="ListParagraph"/>
        <w:numPr>
          <w:ilvl w:val="0"/>
          <w:numId w:val="2"/>
        </w:numPr>
        <w:tabs>
          <w:tab w:val="left" w:pos="599"/>
          <w:tab w:val="left" w:pos="14884"/>
        </w:tabs>
        <w:ind w:right="85" w:firstLine="0"/>
        <w:jc w:val="both"/>
      </w:pPr>
      <w:r w:rsidRPr="007A19DE">
        <w:t>Добављач је у обавези да се придржава рокова испоруке датих у понуди, сатнице и начина транспорта за испоруку робе коју ће писаним или телефонским путем добити од</w:t>
      </w:r>
      <w:r w:rsidRPr="007A19DE">
        <w:rPr>
          <w:spacing w:val="-14"/>
        </w:rPr>
        <w:t xml:space="preserve"> </w:t>
      </w:r>
      <w:r w:rsidRPr="007A19DE">
        <w:t>Наручиоца.</w:t>
      </w:r>
    </w:p>
    <w:p w:rsidR="00DA2DA0" w:rsidRPr="00267E92" w:rsidRDefault="00DA2DA0" w:rsidP="00DA2DA0">
      <w:pPr>
        <w:pStyle w:val="ListParagraph"/>
        <w:numPr>
          <w:ilvl w:val="0"/>
          <w:numId w:val="2"/>
        </w:numPr>
        <w:tabs>
          <w:tab w:val="left" w:pos="611"/>
          <w:tab w:val="left" w:pos="14884"/>
        </w:tabs>
        <w:ind w:right="85" w:firstLine="0"/>
        <w:jc w:val="both"/>
      </w:pPr>
      <w:r w:rsidRPr="00267E92">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w:t>
      </w:r>
      <w:r w:rsidRPr="00267E92">
        <w:rPr>
          <w:spacing w:val="-4"/>
        </w:rPr>
        <w:t xml:space="preserve"> </w:t>
      </w:r>
      <w:r w:rsidRPr="00267E92">
        <w:t>интереса.</w:t>
      </w:r>
    </w:p>
    <w:p w:rsidR="00DA2DA0" w:rsidRPr="00267E92" w:rsidRDefault="00DA2DA0" w:rsidP="00DA2DA0">
      <w:pPr>
        <w:pStyle w:val="ListParagraph"/>
        <w:numPr>
          <w:ilvl w:val="0"/>
          <w:numId w:val="2"/>
        </w:numPr>
        <w:tabs>
          <w:tab w:val="left" w:pos="664"/>
          <w:tab w:val="left" w:pos="14884"/>
        </w:tabs>
        <w:ind w:right="85" w:firstLine="0"/>
        <w:jc w:val="both"/>
      </w:pPr>
      <w:r w:rsidRPr="00267E92">
        <w:t>Добављач је дужан да у предметној пословној сарадњи и испоруци добара, поштује све норме и стандарде везане за безбедност и здравље корисника, заштиту животне средине и енергетску</w:t>
      </w:r>
      <w:r w:rsidRPr="00267E92">
        <w:rPr>
          <w:spacing w:val="-9"/>
        </w:rPr>
        <w:t xml:space="preserve"> </w:t>
      </w:r>
      <w:r w:rsidRPr="00267E92">
        <w:t>ефикасност.</w:t>
      </w:r>
    </w:p>
    <w:p w:rsidR="00DA2DA0" w:rsidRPr="00267E92" w:rsidRDefault="00DA2DA0" w:rsidP="00DA2DA0">
      <w:pPr>
        <w:tabs>
          <w:tab w:val="left" w:pos="14884"/>
        </w:tabs>
        <w:ind w:left="373" w:right="85"/>
        <w:jc w:val="both"/>
      </w:pPr>
      <w:r w:rsidRPr="00267E92">
        <w:t>Свака испорука која по свом квалитету не одговара спецификацији предмета набавке на основу записника о квалитетном пријему, у присуству или верификацији лица које је извршило испоруку (возач) враћа се добављачу</w:t>
      </w:r>
      <w:r>
        <w:t xml:space="preserve"> </w:t>
      </w:r>
      <w:r w:rsidRPr="00267E92">
        <w:t>одмах по испоруци ако се недостатак уочи на лицу места или  касније уколико установи скривене недостатаке  на испорученим</w:t>
      </w:r>
      <w:r w:rsidRPr="00267E92">
        <w:rPr>
          <w:spacing w:val="-1"/>
        </w:rPr>
        <w:t xml:space="preserve"> </w:t>
      </w:r>
      <w:r w:rsidRPr="00267E92">
        <w:t>производима.</w:t>
      </w:r>
    </w:p>
    <w:p w:rsidR="00DA2DA0" w:rsidRPr="00267E92" w:rsidRDefault="00DA2DA0" w:rsidP="00DA2DA0">
      <w:pPr>
        <w:tabs>
          <w:tab w:val="left" w:pos="14884"/>
        </w:tabs>
        <w:ind w:left="373" w:right="85"/>
        <w:jc w:val="both"/>
      </w:pPr>
      <w:r w:rsidRPr="00267E92">
        <w:t>Рок за подношење приговора на испоручене производе је рок исписан на декларацији производа (рок важења). Добављач је дужан да одмах а најкасније у року од 24 часа од момента пријема писаног приговора на утврђене недостатаке испоручених производа, исте отклони.</w:t>
      </w:r>
    </w:p>
    <w:p w:rsidR="00DA2DA0" w:rsidRPr="00267E92" w:rsidRDefault="00DA2DA0" w:rsidP="00DA2DA0">
      <w:pPr>
        <w:tabs>
          <w:tab w:val="left" w:pos="14884"/>
        </w:tabs>
        <w:ind w:left="373" w:right="85"/>
        <w:jc w:val="both"/>
      </w:pPr>
      <w:r w:rsidRPr="00267E92">
        <w:t>Наручилац ће једнострано раскинути уговор уколико се у току трајања уговора због одступања у квалитету изврши повраћај више од три пута.</w:t>
      </w:r>
    </w:p>
    <w:p w:rsidR="00DA2DA0" w:rsidRPr="00267E92" w:rsidRDefault="00DA2DA0" w:rsidP="00DA2DA0">
      <w:pPr>
        <w:pStyle w:val="BodyText"/>
      </w:pPr>
    </w:p>
    <w:p w:rsidR="00DA2DA0" w:rsidRPr="00267E92" w:rsidRDefault="00DA2DA0" w:rsidP="00DA2DA0">
      <w:pPr>
        <w:pStyle w:val="BodyText"/>
      </w:pPr>
    </w:p>
    <w:p w:rsidR="00DA2DA0" w:rsidRPr="00267E92" w:rsidRDefault="00DA2DA0" w:rsidP="00DA2DA0">
      <w:pPr>
        <w:pStyle w:val="BodyText"/>
        <w:spacing w:before="10"/>
      </w:pPr>
    </w:p>
    <w:p w:rsidR="00DA2DA0" w:rsidRPr="00267E92" w:rsidRDefault="00DA2DA0" w:rsidP="00DA2DA0">
      <w:pPr>
        <w:spacing w:before="94" w:line="207" w:lineRule="exact"/>
        <w:ind w:left="2513" w:right="2747"/>
        <w:jc w:val="center"/>
        <w:rPr>
          <w:b/>
        </w:rPr>
      </w:pPr>
    </w:p>
    <w:p w:rsidR="00DA2DA0" w:rsidRPr="00267E92" w:rsidRDefault="00DA2DA0" w:rsidP="00DA2DA0">
      <w:pPr>
        <w:spacing w:line="207" w:lineRule="exact"/>
        <w:ind w:right="612"/>
        <w:jc w:val="right"/>
        <w:rPr>
          <w:b/>
        </w:rPr>
      </w:pPr>
      <w:r w:rsidRPr="00267E92">
        <w:rPr>
          <w:b/>
        </w:rPr>
        <w:t>Потпис овлашћеног лица</w:t>
      </w:r>
    </w:p>
    <w:p w:rsidR="00DA2DA0" w:rsidRPr="00267E92" w:rsidRDefault="00DA2DA0" w:rsidP="00DA2DA0">
      <w:pPr>
        <w:pStyle w:val="BodyText"/>
        <w:rPr>
          <w:b/>
        </w:rPr>
      </w:pPr>
    </w:p>
    <w:p w:rsidR="00DA2DA0" w:rsidRPr="00267E92" w:rsidRDefault="00DA2DA0" w:rsidP="00DA2DA0">
      <w:pPr>
        <w:pStyle w:val="BodyText"/>
        <w:spacing w:before="9"/>
        <w:rPr>
          <w:b/>
        </w:rPr>
      </w:pPr>
      <w:r>
        <w:rPr>
          <w:b/>
        </w:rPr>
        <w:t xml:space="preserve">                                                                                                                                                                     </w:t>
      </w:r>
      <w:r w:rsidRPr="00267E92">
        <w:rPr>
          <w:b/>
        </w:rPr>
        <w:t>МП</w:t>
      </w:r>
      <w:r w:rsidRPr="00267E92">
        <w:rPr>
          <w:noProof/>
        </w:rPr>
        <w:t xml:space="preserve"> </w:t>
      </w:r>
      <w:r>
        <w:rPr>
          <w:noProof/>
          <w:lang w:val="sr-Latn-RS" w:eastAsia="sr-Latn-RS"/>
        </w:rPr>
        <mc:AlternateContent>
          <mc:Choice Requires="wps">
            <w:drawing>
              <wp:anchor distT="4294967295" distB="4294967295" distL="0" distR="0" simplePos="0" relativeHeight="251659264" behindDoc="1" locked="0" layoutInCell="1" allowOverlap="1" wp14:anchorId="458D8ED3" wp14:editId="62AD2112">
                <wp:simplePos x="0" y="0"/>
                <wp:positionH relativeFrom="page">
                  <wp:posOffset>7891145</wp:posOffset>
                </wp:positionH>
                <wp:positionV relativeFrom="paragraph">
                  <wp:posOffset>214629</wp:posOffset>
                </wp:positionV>
                <wp:extent cx="1710055" cy="0"/>
                <wp:effectExtent l="0" t="0" r="23495" b="19050"/>
                <wp:wrapTopAndBottom/>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124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EF9128" id="Line 4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21.35pt,16.9pt" to="75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uu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" strokeweight=".34664mm">
                <w10:wrap type="topAndBottom" anchorx="page"/>
              </v:line>
            </w:pict>
          </mc:Fallback>
        </mc:AlternateContent>
      </w:r>
    </w:p>
    <w:p w:rsidR="00DA2DA0" w:rsidRPr="00F93319" w:rsidRDefault="00DA2DA0" w:rsidP="00DA2DA0">
      <w:pPr>
        <w:rPr>
          <w:rFonts w:ascii="Times New Roman" w:hAnsi="Times New Roman" w:cs="Times New Roman"/>
        </w:rPr>
      </w:pPr>
    </w:p>
    <w:p w:rsidR="00DA2DA0" w:rsidRPr="00F93319" w:rsidRDefault="00DA2DA0" w:rsidP="00DA2DA0">
      <w:pPr>
        <w:rPr>
          <w:rFonts w:ascii="Times New Roman" w:hAnsi="Times New Roman" w:cs="Times New Roman"/>
        </w:rPr>
      </w:pPr>
    </w:p>
    <w:p w:rsidR="00D25E3D" w:rsidRDefault="00D25E3D"/>
    <w:sectPr w:rsidR="00D25E3D" w:rsidSect="00DA2DA0">
      <w:pgSz w:w="16840" w:h="11907" w:orient="landscape"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200A"/>
    <w:multiLevelType w:val="hybridMultilevel"/>
    <w:tmpl w:val="44001A06"/>
    <w:lvl w:ilvl="0" w:tplc="50C85EAE">
      <w:numFmt w:val="bullet"/>
      <w:lvlText w:val="-"/>
      <w:lvlJc w:val="left"/>
      <w:pPr>
        <w:ind w:left="505" w:hanging="132"/>
      </w:pPr>
      <w:rPr>
        <w:rFonts w:ascii="Arial" w:eastAsia="Arial" w:hAnsi="Arial" w:cs="Arial" w:hint="default"/>
        <w:w w:val="99"/>
        <w:sz w:val="18"/>
        <w:szCs w:val="18"/>
      </w:rPr>
    </w:lvl>
    <w:lvl w:ilvl="1" w:tplc="241A0003" w:tentative="1">
      <w:start w:val="1"/>
      <w:numFmt w:val="bullet"/>
      <w:lvlText w:val="o"/>
      <w:lvlJc w:val="left"/>
      <w:pPr>
        <w:ind w:left="1572" w:hanging="360"/>
      </w:pPr>
      <w:rPr>
        <w:rFonts w:ascii="Courier New" w:hAnsi="Courier New" w:cs="Courier New" w:hint="default"/>
      </w:rPr>
    </w:lvl>
    <w:lvl w:ilvl="2" w:tplc="241A0005" w:tentative="1">
      <w:start w:val="1"/>
      <w:numFmt w:val="bullet"/>
      <w:lvlText w:val=""/>
      <w:lvlJc w:val="left"/>
      <w:pPr>
        <w:ind w:left="2292" w:hanging="360"/>
      </w:pPr>
      <w:rPr>
        <w:rFonts w:ascii="Wingdings" w:hAnsi="Wingdings" w:hint="default"/>
      </w:rPr>
    </w:lvl>
    <w:lvl w:ilvl="3" w:tplc="241A0001" w:tentative="1">
      <w:start w:val="1"/>
      <w:numFmt w:val="bullet"/>
      <w:lvlText w:val=""/>
      <w:lvlJc w:val="left"/>
      <w:pPr>
        <w:ind w:left="3012" w:hanging="360"/>
      </w:pPr>
      <w:rPr>
        <w:rFonts w:ascii="Symbol" w:hAnsi="Symbol" w:hint="default"/>
      </w:rPr>
    </w:lvl>
    <w:lvl w:ilvl="4" w:tplc="241A0003" w:tentative="1">
      <w:start w:val="1"/>
      <w:numFmt w:val="bullet"/>
      <w:lvlText w:val="o"/>
      <w:lvlJc w:val="left"/>
      <w:pPr>
        <w:ind w:left="3732" w:hanging="360"/>
      </w:pPr>
      <w:rPr>
        <w:rFonts w:ascii="Courier New" w:hAnsi="Courier New" w:cs="Courier New" w:hint="default"/>
      </w:rPr>
    </w:lvl>
    <w:lvl w:ilvl="5" w:tplc="241A0005" w:tentative="1">
      <w:start w:val="1"/>
      <w:numFmt w:val="bullet"/>
      <w:lvlText w:val=""/>
      <w:lvlJc w:val="left"/>
      <w:pPr>
        <w:ind w:left="4452" w:hanging="360"/>
      </w:pPr>
      <w:rPr>
        <w:rFonts w:ascii="Wingdings" w:hAnsi="Wingdings" w:hint="default"/>
      </w:rPr>
    </w:lvl>
    <w:lvl w:ilvl="6" w:tplc="241A0001" w:tentative="1">
      <w:start w:val="1"/>
      <w:numFmt w:val="bullet"/>
      <w:lvlText w:val=""/>
      <w:lvlJc w:val="left"/>
      <w:pPr>
        <w:ind w:left="5172" w:hanging="360"/>
      </w:pPr>
      <w:rPr>
        <w:rFonts w:ascii="Symbol" w:hAnsi="Symbol" w:hint="default"/>
      </w:rPr>
    </w:lvl>
    <w:lvl w:ilvl="7" w:tplc="241A0003" w:tentative="1">
      <w:start w:val="1"/>
      <w:numFmt w:val="bullet"/>
      <w:lvlText w:val="o"/>
      <w:lvlJc w:val="left"/>
      <w:pPr>
        <w:ind w:left="5892" w:hanging="360"/>
      </w:pPr>
      <w:rPr>
        <w:rFonts w:ascii="Courier New" w:hAnsi="Courier New" w:cs="Courier New" w:hint="default"/>
      </w:rPr>
    </w:lvl>
    <w:lvl w:ilvl="8" w:tplc="241A0005" w:tentative="1">
      <w:start w:val="1"/>
      <w:numFmt w:val="bullet"/>
      <w:lvlText w:val=""/>
      <w:lvlJc w:val="left"/>
      <w:pPr>
        <w:ind w:left="6612" w:hanging="360"/>
      </w:pPr>
      <w:rPr>
        <w:rFonts w:ascii="Wingdings" w:hAnsi="Wingdings" w:hint="default"/>
      </w:rPr>
    </w:lvl>
  </w:abstractNum>
  <w:abstractNum w:abstractNumId="1">
    <w:nsid w:val="34EE480F"/>
    <w:multiLevelType w:val="hybridMultilevel"/>
    <w:tmpl w:val="E69CA302"/>
    <w:lvl w:ilvl="0" w:tplc="1E02AA3A">
      <w:start w:val="1"/>
      <w:numFmt w:val="upperRoman"/>
      <w:lvlText w:val="%1"/>
      <w:lvlJc w:val="left"/>
      <w:pPr>
        <w:ind w:left="373" w:hanging="156"/>
      </w:pPr>
      <w:rPr>
        <w:rFonts w:ascii="Arial" w:eastAsia="Arial" w:hAnsi="Arial" w:cs="Arial" w:hint="default"/>
        <w:b/>
        <w:bCs/>
        <w:w w:val="100"/>
        <w:sz w:val="22"/>
        <w:szCs w:val="22"/>
      </w:rPr>
    </w:lvl>
    <w:lvl w:ilvl="1" w:tplc="92926C30">
      <w:numFmt w:val="bullet"/>
      <w:lvlText w:val="•"/>
      <w:lvlJc w:val="left"/>
      <w:pPr>
        <w:ind w:left="1406" w:hanging="156"/>
      </w:pPr>
      <w:rPr>
        <w:rFonts w:hint="default"/>
      </w:rPr>
    </w:lvl>
    <w:lvl w:ilvl="2" w:tplc="CE7CF65A">
      <w:numFmt w:val="bullet"/>
      <w:lvlText w:val="•"/>
      <w:lvlJc w:val="left"/>
      <w:pPr>
        <w:ind w:left="2432" w:hanging="156"/>
      </w:pPr>
      <w:rPr>
        <w:rFonts w:hint="default"/>
      </w:rPr>
    </w:lvl>
    <w:lvl w:ilvl="3" w:tplc="7C30A2E0">
      <w:numFmt w:val="bullet"/>
      <w:lvlText w:val="•"/>
      <w:lvlJc w:val="left"/>
      <w:pPr>
        <w:ind w:left="3458" w:hanging="156"/>
      </w:pPr>
      <w:rPr>
        <w:rFonts w:hint="default"/>
      </w:rPr>
    </w:lvl>
    <w:lvl w:ilvl="4" w:tplc="02A6ECE2">
      <w:numFmt w:val="bullet"/>
      <w:lvlText w:val="•"/>
      <w:lvlJc w:val="left"/>
      <w:pPr>
        <w:ind w:left="4484" w:hanging="156"/>
      </w:pPr>
      <w:rPr>
        <w:rFonts w:hint="default"/>
      </w:rPr>
    </w:lvl>
    <w:lvl w:ilvl="5" w:tplc="3CF265C0">
      <w:numFmt w:val="bullet"/>
      <w:lvlText w:val="•"/>
      <w:lvlJc w:val="left"/>
      <w:pPr>
        <w:ind w:left="5510" w:hanging="156"/>
      </w:pPr>
      <w:rPr>
        <w:rFonts w:hint="default"/>
      </w:rPr>
    </w:lvl>
    <w:lvl w:ilvl="6" w:tplc="F4FA9D6E">
      <w:numFmt w:val="bullet"/>
      <w:lvlText w:val="•"/>
      <w:lvlJc w:val="left"/>
      <w:pPr>
        <w:ind w:left="6536" w:hanging="156"/>
      </w:pPr>
      <w:rPr>
        <w:rFonts w:hint="default"/>
      </w:rPr>
    </w:lvl>
    <w:lvl w:ilvl="7" w:tplc="1198636E">
      <w:numFmt w:val="bullet"/>
      <w:lvlText w:val="•"/>
      <w:lvlJc w:val="left"/>
      <w:pPr>
        <w:ind w:left="7562" w:hanging="156"/>
      </w:pPr>
      <w:rPr>
        <w:rFonts w:hint="default"/>
      </w:rPr>
    </w:lvl>
    <w:lvl w:ilvl="8" w:tplc="CBE253FC">
      <w:numFmt w:val="bullet"/>
      <w:lvlText w:val="•"/>
      <w:lvlJc w:val="left"/>
      <w:pPr>
        <w:ind w:left="8588" w:hanging="156"/>
      </w:pPr>
      <w:rPr>
        <w:rFonts w:hint="default"/>
      </w:rPr>
    </w:lvl>
  </w:abstractNum>
  <w:abstractNum w:abstractNumId="2">
    <w:nsid w:val="34F14DD6"/>
    <w:multiLevelType w:val="hybridMultilevel"/>
    <w:tmpl w:val="2E56F6CE"/>
    <w:lvl w:ilvl="0" w:tplc="50C85EAE">
      <w:numFmt w:val="bullet"/>
      <w:lvlText w:val="-"/>
      <w:lvlJc w:val="left"/>
      <w:pPr>
        <w:ind w:left="281" w:hanging="132"/>
      </w:pPr>
      <w:rPr>
        <w:rFonts w:ascii="Arial" w:eastAsia="Arial" w:hAnsi="Arial" w:cs="Arial" w:hint="default"/>
        <w:w w:val="99"/>
        <w:sz w:val="18"/>
        <w:szCs w:val="18"/>
      </w:rPr>
    </w:lvl>
    <w:lvl w:ilvl="1" w:tplc="9EE8A388">
      <w:numFmt w:val="bullet"/>
      <w:lvlText w:val="•"/>
      <w:lvlJc w:val="left"/>
      <w:pPr>
        <w:ind w:left="1314" w:hanging="132"/>
      </w:pPr>
      <w:rPr>
        <w:rFonts w:hint="default"/>
      </w:rPr>
    </w:lvl>
    <w:lvl w:ilvl="2" w:tplc="054480C8">
      <w:numFmt w:val="bullet"/>
      <w:lvlText w:val="•"/>
      <w:lvlJc w:val="left"/>
      <w:pPr>
        <w:ind w:left="2340" w:hanging="132"/>
      </w:pPr>
      <w:rPr>
        <w:rFonts w:hint="default"/>
      </w:rPr>
    </w:lvl>
    <w:lvl w:ilvl="3" w:tplc="DC66CFF2">
      <w:numFmt w:val="bullet"/>
      <w:lvlText w:val="•"/>
      <w:lvlJc w:val="left"/>
      <w:pPr>
        <w:ind w:left="3366" w:hanging="132"/>
      </w:pPr>
      <w:rPr>
        <w:rFonts w:hint="default"/>
      </w:rPr>
    </w:lvl>
    <w:lvl w:ilvl="4" w:tplc="FD3C85DC">
      <w:numFmt w:val="bullet"/>
      <w:lvlText w:val="•"/>
      <w:lvlJc w:val="left"/>
      <w:pPr>
        <w:ind w:left="4392" w:hanging="132"/>
      </w:pPr>
      <w:rPr>
        <w:rFonts w:hint="default"/>
      </w:rPr>
    </w:lvl>
    <w:lvl w:ilvl="5" w:tplc="DD848976">
      <w:numFmt w:val="bullet"/>
      <w:lvlText w:val="•"/>
      <w:lvlJc w:val="left"/>
      <w:pPr>
        <w:ind w:left="5418" w:hanging="132"/>
      </w:pPr>
      <w:rPr>
        <w:rFonts w:hint="default"/>
      </w:rPr>
    </w:lvl>
    <w:lvl w:ilvl="6" w:tplc="06762220">
      <w:numFmt w:val="bullet"/>
      <w:lvlText w:val="•"/>
      <w:lvlJc w:val="left"/>
      <w:pPr>
        <w:ind w:left="6444" w:hanging="132"/>
      </w:pPr>
      <w:rPr>
        <w:rFonts w:hint="default"/>
      </w:rPr>
    </w:lvl>
    <w:lvl w:ilvl="7" w:tplc="9272A80E">
      <w:numFmt w:val="bullet"/>
      <w:lvlText w:val="•"/>
      <w:lvlJc w:val="left"/>
      <w:pPr>
        <w:ind w:left="7470" w:hanging="132"/>
      </w:pPr>
      <w:rPr>
        <w:rFonts w:hint="default"/>
      </w:rPr>
    </w:lvl>
    <w:lvl w:ilvl="8" w:tplc="B5249E0E">
      <w:numFmt w:val="bullet"/>
      <w:lvlText w:val="•"/>
      <w:lvlJc w:val="left"/>
      <w:pPr>
        <w:ind w:left="8496" w:hanging="132"/>
      </w:pPr>
      <w:rPr>
        <w:rFonts w:hint="default"/>
      </w:rPr>
    </w:lvl>
  </w:abstractNum>
  <w:abstractNum w:abstractNumId="3">
    <w:nsid w:val="3A6027A7"/>
    <w:multiLevelType w:val="hybridMultilevel"/>
    <w:tmpl w:val="8FA08130"/>
    <w:lvl w:ilvl="0" w:tplc="78CED5D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1011DD"/>
    <w:multiLevelType w:val="hybridMultilevel"/>
    <w:tmpl w:val="D8CCC61C"/>
    <w:lvl w:ilvl="0" w:tplc="50C85EAE">
      <w:numFmt w:val="bullet"/>
      <w:lvlText w:val="-"/>
      <w:lvlJc w:val="left"/>
      <w:pPr>
        <w:ind w:left="264" w:hanging="132"/>
      </w:pPr>
      <w:rPr>
        <w:rFonts w:ascii="Arial" w:eastAsia="Arial" w:hAnsi="Arial" w:cs="Arial" w:hint="default"/>
        <w:w w:val="99"/>
        <w:sz w:val="18"/>
        <w:szCs w:val="18"/>
      </w:rPr>
    </w:lvl>
    <w:lvl w:ilvl="1" w:tplc="241A0003" w:tentative="1">
      <w:start w:val="1"/>
      <w:numFmt w:val="bullet"/>
      <w:lvlText w:val="o"/>
      <w:lvlJc w:val="left"/>
      <w:pPr>
        <w:ind w:left="1331" w:hanging="360"/>
      </w:pPr>
      <w:rPr>
        <w:rFonts w:ascii="Courier New" w:hAnsi="Courier New" w:cs="Courier New" w:hint="default"/>
      </w:rPr>
    </w:lvl>
    <w:lvl w:ilvl="2" w:tplc="241A0005" w:tentative="1">
      <w:start w:val="1"/>
      <w:numFmt w:val="bullet"/>
      <w:lvlText w:val=""/>
      <w:lvlJc w:val="left"/>
      <w:pPr>
        <w:ind w:left="2051" w:hanging="360"/>
      </w:pPr>
      <w:rPr>
        <w:rFonts w:ascii="Wingdings" w:hAnsi="Wingdings" w:hint="default"/>
      </w:rPr>
    </w:lvl>
    <w:lvl w:ilvl="3" w:tplc="241A0001" w:tentative="1">
      <w:start w:val="1"/>
      <w:numFmt w:val="bullet"/>
      <w:lvlText w:val=""/>
      <w:lvlJc w:val="left"/>
      <w:pPr>
        <w:ind w:left="2771" w:hanging="360"/>
      </w:pPr>
      <w:rPr>
        <w:rFonts w:ascii="Symbol" w:hAnsi="Symbol" w:hint="default"/>
      </w:rPr>
    </w:lvl>
    <w:lvl w:ilvl="4" w:tplc="241A0003" w:tentative="1">
      <w:start w:val="1"/>
      <w:numFmt w:val="bullet"/>
      <w:lvlText w:val="o"/>
      <w:lvlJc w:val="left"/>
      <w:pPr>
        <w:ind w:left="3491" w:hanging="360"/>
      </w:pPr>
      <w:rPr>
        <w:rFonts w:ascii="Courier New" w:hAnsi="Courier New" w:cs="Courier New" w:hint="default"/>
      </w:rPr>
    </w:lvl>
    <w:lvl w:ilvl="5" w:tplc="241A0005" w:tentative="1">
      <w:start w:val="1"/>
      <w:numFmt w:val="bullet"/>
      <w:lvlText w:val=""/>
      <w:lvlJc w:val="left"/>
      <w:pPr>
        <w:ind w:left="4211" w:hanging="360"/>
      </w:pPr>
      <w:rPr>
        <w:rFonts w:ascii="Wingdings" w:hAnsi="Wingdings" w:hint="default"/>
      </w:rPr>
    </w:lvl>
    <w:lvl w:ilvl="6" w:tplc="241A0001" w:tentative="1">
      <w:start w:val="1"/>
      <w:numFmt w:val="bullet"/>
      <w:lvlText w:val=""/>
      <w:lvlJc w:val="left"/>
      <w:pPr>
        <w:ind w:left="4931" w:hanging="360"/>
      </w:pPr>
      <w:rPr>
        <w:rFonts w:ascii="Symbol" w:hAnsi="Symbol" w:hint="default"/>
      </w:rPr>
    </w:lvl>
    <w:lvl w:ilvl="7" w:tplc="241A0003" w:tentative="1">
      <w:start w:val="1"/>
      <w:numFmt w:val="bullet"/>
      <w:lvlText w:val="o"/>
      <w:lvlJc w:val="left"/>
      <w:pPr>
        <w:ind w:left="5651" w:hanging="360"/>
      </w:pPr>
      <w:rPr>
        <w:rFonts w:ascii="Courier New" w:hAnsi="Courier New" w:cs="Courier New" w:hint="default"/>
      </w:rPr>
    </w:lvl>
    <w:lvl w:ilvl="8" w:tplc="241A0005" w:tentative="1">
      <w:start w:val="1"/>
      <w:numFmt w:val="bullet"/>
      <w:lvlText w:val=""/>
      <w:lvlJc w:val="left"/>
      <w:pPr>
        <w:ind w:left="6371"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A0"/>
    <w:rsid w:val="00AD73EB"/>
    <w:rsid w:val="00D25E3D"/>
    <w:rsid w:val="00D637EB"/>
    <w:rsid w:val="00DA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DA0"/>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DA0"/>
  </w:style>
  <w:style w:type="character" w:customStyle="1" w:styleId="BodyTextChar">
    <w:name w:val="Body Text Char"/>
    <w:basedOn w:val="DefaultParagraphFont"/>
    <w:link w:val="BodyText"/>
    <w:uiPriority w:val="1"/>
    <w:rsid w:val="00DA2DA0"/>
    <w:rPr>
      <w:rFonts w:ascii="Arial" w:eastAsia="Arial" w:hAnsi="Arial" w:cs="Arial"/>
    </w:rPr>
  </w:style>
  <w:style w:type="paragraph" w:styleId="ListParagraph">
    <w:name w:val="List Paragraph"/>
    <w:basedOn w:val="Normal"/>
    <w:uiPriority w:val="1"/>
    <w:qFormat/>
    <w:rsid w:val="00DA2DA0"/>
    <w:pPr>
      <w:ind w:left="373"/>
    </w:pPr>
  </w:style>
  <w:style w:type="table" w:styleId="TableGrid">
    <w:name w:val="Table Grid"/>
    <w:basedOn w:val="TableNormal"/>
    <w:uiPriority w:val="59"/>
    <w:rsid w:val="00DA2D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2DA0"/>
    <w:pPr>
      <w:widowControl w:val="0"/>
      <w:autoSpaceDE w:val="0"/>
      <w:autoSpaceDN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A2DA0"/>
  </w:style>
  <w:style w:type="character" w:customStyle="1" w:styleId="BodyTextChar">
    <w:name w:val="Body Text Char"/>
    <w:basedOn w:val="DefaultParagraphFont"/>
    <w:link w:val="BodyText"/>
    <w:uiPriority w:val="1"/>
    <w:rsid w:val="00DA2DA0"/>
    <w:rPr>
      <w:rFonts w:ascii="Arial" w:eastAsia="Arial" w:hAnsi="Arial" w:cs="Arial"/>
    </w:rPr>
  </w:style>
  <w:style w:type="paragraph" w:styleId="ListParagraph">
    <w:name w:val="List Paragraph"/>
    <w:basedOn w:val="Normal"/>
    <w:uiPriority w:val="1"/>
    <w:qFormat/>
    <w:rsid w:val="00DA2DA0"/>
    <w:pPr>
      <w:ind w:left="373"/>
    </w:pPr>
  </w:style>
  <w:style w:type="table" w:styleId="TableGrid">
    <w:name w:val="Table Grid"/>
    <w:basedOn w:val="TableNormal"/>
    <w:uiPriority w:val="59"/>
    <w:rsid w:val="00DA2D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Spasić</cp:lastModifiedBy>
  <cp:revision>2</cp:revision>
  <dcterms:created xsi:type="dcterms:W3CDTF">2020-12-07T11:34:00Z</dcterms:created>
  <dcterms:modified xsi:type="dcterms:W3CDTF">2020-12-07T11:34:00Z</dcterms:modified>
</cp:coreProperties>
</file>